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18533" w14:textId="010B3CCB" w:rsidR="001B050C" w:rsidRPr="00A20FFE" w:rsidRDefault="001B050C" w:rsidP="001B050C">
      <w:pPr>
        <w:pStyle w:val="Heading2"/>
        <w:rPr>
          <w:rFonts w:ascii="Times New Roman" w:hAnsi="Times New Roman" w:cs="Times New Roman"/>
          <w:color w:val="000000"/>
          <w:sz w:val="44"/>
          <w:szCs w:val="44"/>
        </w:rPr>
      </w:pPr>
      <w:r w:rsidRPr="00A20FFE">
        <w:rPr>
          <w:rFonts w:ascii="Times New Roman" w:hAnsi="Times New Roman" w:cs="Times New Roman"/>
          <w:color w:val="000000"/>
          <w:sz w:val="44"/>
          <w:szCs w:val="44"/>
        </w:rPr>
        <w:t>The Value of Libraries</w:t>
      </w:r>
    </w:p>
    <w:p w14:paraId="4BEFD1FD" w14:textId="2D263A63" w:rsidR="001B050C" w:rsidRDefault="001B050C" w:rsidP="001B050C">
      <w:pPr>
        <w:rPr>
          <w:lang w:val="en-AU"/>
        </w:rPr>
      </w:pPr>
    </w:p>
    <w:p w14:paraId="676A7EE8" w14:textId="77777777" w:rsidR="00A20FFE" w:rsidRDefault="00A20FFE" w:rsidP="001B050C">
      <w:pPr>
        <w:rPr>
          <w:sz w:val="32"/>
          <w:szCs w:val="32"/>
          <w:lang w:val="en-AU"/>
        </w:rPr>
      </w:pPr>
    </w:p>
    <w:p w14:paraId="2E9AB704" w14:textId="63CAC820" w:rsidR="001A4CC5" w:rsidRPr="00AE1361" w:rsidRDefault="001A4CC5" w:rsidP="001B050C">
      <w:pPr>
        <w:rPr>
          <w:sz w:val="28"/>
          <w:szCs w:val="28"/>
          <w:lang w:val="en-AU"/>
        </w:rPr>
      </w:pPr>
      <w:r w:rsidRPr="00AE1361">
        <w:rPr>
          <w:sz w:val="28"/>
          <w:szCs w:val="28"/>
          <w:lang w:val="en-AU"/>
        </w:rPr>
        <w:t>Authors:</w:t>
      </w:r>
      <w:r w:rsidR="00570FC7">
        <w:rPr>
          <w:sz w:val="28"/>
          <w:szCs w:val="28"/>
          <w:lang w:val="en-AU"/>
        </w:rPr>
        <w:tab/>
      </w:r>
      <w:r w:rsidR="00B51177">
        <w:rPr>
          <w:sz w:val="28"/>
          <w:szCs w:val="28"/>
          <w:lang w:val="en-AU"/>
        </w:rPr>
        <w:t>Dr Amma Buckley and Professor John Phillimore</w:t>
      </w:r>
    </w:p>
    <w:p w14:paraId="41162335" w14:textId="64663C98" w:rsidR="001A4CC5" w:rsidRDefault="00570FC7" w:rsidP="001B050C">
      <w:pPr>
        <w:rPr>
          <w:sz w:val="28"/>
          <w:szCs w:val="28"/>
          <w:lang w:val="en-AU"/>
        </w:rPr>
      </w:pPr>
      <w:r>
        <w:rPr>
          <w:sz w:val="28"/>
          <w:szCs w:val="28"/>
          <w:lang w:val="en-AU"/>
        </w:rPr>
        <w:tab/>
      </w:r>
      <w:r>
        <w:rPr>
          <w:sz w:val="28"/>
          <w:szCs w:val="28"/>
          <w:lang w:val="en-AU"/>
        </w:rPr>
        <w:tab/>
        <w:t>Curtin University</w:t>
      </w:r>
    </w:p>
    <w:p w14:paraId="412F77C6" w14:textId="77777777" w:rsidR="00570FC7" w:rsidRPr="00AE1361" w:rsidRDefault="00570FC7" w:rsidP="001B050C">
      <w:pPr>
        <w:rPr>
          <w:sz w:val="28"/>
          <w:szCs w:val="28"/>
          <w:lang w:val="en-AU"/>
        </w:rPr>
      </w:pPr>
    </w:p>
    <w:p w14:paraId="187C4B7F" w14:textId="77777777" w:rsidR="001A4CC5" w:rsidRPr="00AE1361" w:rsidRDefault="001A4CC5" w:rsidP="001B050C">
      <w:pPr>
        <w:rPr>
          <w:sz w:val="28"/>
          <w:szCs w:val="28"/>
          <w:lang w:val="en-AU"/>
        </w:rPr>
      </w:pPr>
    </w:p>
    <w:p w14:paraId="70A9132E" w14:textId="712623B6" w:rsidR="001A4CC5" w:rsidRPr="00AE1361" w:rsidRDefault="001A4CC5" w:rsidP="001B050C">
      <w:pPr>
        <w:rPr>
          <w:sz w:val="28"/>
          <w:szCs w:val="28"/>
          <w:lang w:val="en-AU"/>
        </w:rPr>
      </w:pPr>
      <w:r w:rsidRPr="00AE1361">
        <w:rPr>
          <w:sz w:val="28"/>
          <w:szCs w:val="28"/>
          <w:lang w:val="en-AU"/>
        </w:rPr>
        <w:t>Contact Details:</w:t>
      </w:r>
      <w:r w:rsidR="00B51177">
        <w:rPr>
          <w:sz w:val="28"/>
          <w:szCs w:val="28"/>
          <w:lang w:val="en-AU"/>
        </w:rPr>
        <w:t xml:space="preserve"> </w:t>
      </w:r>
      <w:hyperlink r:id="rId9" w:history="1">
        <w:r w:rsidR="003952BB" w:rsidRPr="00DF0395">
          <w:rPr>
            <w:rStyle w:val="Hyperlink"/>
            <w:sz w:val="28"/>
            <w:szCs w:val="28"/>
            <w:lang w:val="en-AU"/>
          </w:rPr>
          <w:t>J.Phillimore@curtin.edu.au</w:t>
        </w:r>
      </w:hyperlink>
      <w:r w:rsidR="003952BB">
        <w:rPr>
          <w:sz w:val="28"/>
          <w:szCs w:val="28"/>
          <w:lang w:val="en-AU"/>
        </w:rPr>
        <w:t xml:space="preserve"> </w:t>
      </w:r>
    </w:p>
    <w:p w14:paraId="2BC7135D" w14:textId="3F9404CA" w:rsidR="001A4CC5" w:rsidRPr="00AE1361" w:rsidRDefault="001A4CC5" w:rsidP="001B050C">
      <w:pPr>
        <w:rPr>
          <w:sz w:val="28"/>
          <w:szCs w:val="28"/>
          <w:lang w:val="en-AU"/>
        </w:rPr>
      </w:pPr>
    </w:p>
    <w:p w14:paraId="04EE4215" w14:textId="77777777" w:rsidR="001A4CC5" w:rsidRPr="00AE1361" w:rsidRDefault="001A4CC5" w:rsidP="001B050C">
      <w:pPr>
        <w:rPr>
          <w:sz w:val="28"/>
          <w:szCs w:val="28"/>
          <w:lang w:val="en-AU"/>
        </w:rPr>
      </w:pPr>
    </w:p>
    <w:p w14:paraId="2C889F5D" w14:textId="07488A4C" w:rsidR="001A4CC5" w:rsidRPr="00AE1361" w:rsidRDefault="001A4CC5" w:rsidP="001B050C">
      <w:pPr>
        <w:rPr>
          <w:sz w:val="28"/>
          <w:szCs w:val="28"/>
          <w:lang w:val="en-AU"/>
        </w:rPr>
      </w:pPr>
      <w:r w:rsidRPr="00AE1361">
        <w:rPr>
          <w:sz w:val="28"/>
          <w:szCs w:val="28"/>
          <w:lang w:val="en-AU"/>
        </w:rPr>
        <w:t>Review Conducted: May 2019</w:t>
      </w:r>
    </w:p>
    <w:p w14:paraId="4A57B64B" w14:textId="77777777" w:rsidR="001B050C" w:rsidRPr="00CB50AC" w:rsidRDefault="001B050C" w:rsidP="001B050C">
      <w:pPr>
        <w:jc w:val="both"/>
        <w:rPr>
          <w:color w:val="000000"/>
        </w:rPr>
      </w:pPr>
    </w:p>
    <w:p w14:paraId="21F93DDB" w14:textId="77777777" w:rsidR="001B050C" w:rsidRPr="00CB50AC" w:rsidRDefault="001B050C" w:rsidP="001B050C">
      <w:pPr>
        <w:spacing w:line="360" w:lineRule="auto"/>
        <w:jc w:val="both"/>
        <w:rPr>
          <w:color w:val="000000"/>
        </w:rPr>
      </w:pPr>
    </w:p>
    <w:p w14:paraId="71C6AF88" w14:textId="77777777" w:rsidR="001B050C" w:rsidRPr="001B050C" w:rsidRDefault="001B050C" w:rsidP="001B050C">
      <w:pPr>
        <w:spacing w:line="360" w:lineRule="auto"/>
        <w:jc w:val="both"/>
        <w:rPr>
          <w:b/>
          <w:color w:val="000000"/>
          <w:sz w:val="28"/>
          <w:szCs w:val="28"/>
        </w:rPr>
      </w:pPr>
      <w:r w:rsidRPr="001B050C">
        <w:rPr>
          <w:b/>
          <w:color w:val="000000"/>
          <w:sz w:val="28"/>
          <w:szCs w:val="28"/>
        </w:rPr>
        <w:t>Introduction</w:t>
      </w:r>
    </w:p>
    <w:p w14:paraId="18A1F099" w14:textId="0489A1AB" w:rsidR="00BE1C93" w:rsidRDefault="00340806" w:rsidP="00104C14">
      <w:pPr>
        <w:spacing w:line="360" w:lineRule="auto"/>
        <w:jc w:val="both"/>
        <w:rPr>
          <w:color w:val="000000"/>
        </w:rPr>
      </w:pPr>
      <w:r>
        <w:rPr>
          <w:color w:val="000000"/>
        </w:rPr>
        <w:t xml:space="preserve">Over </w:t>
      </w:r>
      <w:r w:rsidR="005E2A45">
        <w:rPr>
          <w:color w:val="000000"/>
        </w:rPr>
        <w:t xml:space="preserve">recent decades there has been </w:t>
      </w:r>
      <w:r w:rsidR="009F1B4B">
        <w:rPr>
          <w:color w:val="000000"/>
        </w:rPr>
        <w:t>mounting</w:t>
      </w:r>
      <w:r w:rsidR="005E2A45">
        <w:rPr>
          <w:color w:val="000000"/>
        </w:rPr>
        <w:t xml:space="preserve"> </w:t>
      </w:r>
      <w:r w:rsidR="00993F4D">
        <w:rPr>
          <w:color w:val="000000"/>
        </w:rPr>
        <w:t>deliberation</w:t>
      </w:r>
      <w:r w:rsidR="005E2A45">
        <w:rPr>
          <w:color w:val="000000"/>
        </w:rPr>
        <w:t xml:space="preserve"> in the professional and research literature about the role and value of public libraries in the digital age. Public l</w:t>
      </w:r>
      <w:r w:rsidR="00BE1C93">
        <w:rPr>
          <w:color w:val="000000"/>
        </w:rPr>
        <w:t xml:space="preserve">ibraries are </w:t>
      </w:r>
      <w:r w:rsidR="005E2A45">
        <w:rPr>
          <w:color w:val="000000"/>
        </w:rPr>
        <w:t xml:space="preserve">described as </w:t>
      </w:r>
      <w:r w:rsidR="00FE57FD">
        <w:rPr>
          <w:color w:val="000000"/>
        </w:rPr>
        <w:t>open, impartial and trusted institutions</w:t>
      </w:r>
      <w:r w:rsidR="005E2A45">
        <w:rPr>
          <w:color w:val="000000"/>
        </w:rPr>
        <w:t>, community</w:t>
      </w:r>
      <w:r w:rsidR="00A417A3">
        <w:rPr>
          <w:color w:val="000000"/>
        </w:rPr>
        <w:t xml:space="preserve"> hubs</w:t>
      </w:r>
      <w:r w:rsidR="005E2A45">
        <w:rPr>
          <w:color w:val="000000"/>
        </w:rPr>
        <w:t xml:space="preserve">, </w:t>
      </w:r>
      <w:proofErr w:type="gramStart"/>
      <w:r w:rsidR="005E2A45">
        <w:rPr>
          <w:color w:val="000000"/>
        </w:rPr>
        <w:t>places</w:t>
      </w:r>
      <w:proofErr w:type="gramEnd"/>
      <w:r w:rsidR="005E2A45">
        <w:rPr>
          <w:color w:val="000000"/>
        </w:rPr>
        <w:t xml:space="preserve"> of learning and developers of social capital. </w:t>
      </w:r>
      <w:r w:rsidR="006E02FD">
        <w:rPr>
          <w:color w:val="000000"/>
        </w:rPr>
        <w:t xml:space="preserve">Paradoxically </w:t>
      </w:r>
      <w:r w:rsidR="0093535A">
        <w:rPr>
          <w:color w:val="000000"/>
        </w:rPr>
        <w:t>they are seen as important gateways to knowledge and inclusion</w:t>
      </w:r>
      <w:r w:rsidR="00DD7E65">
        <w:rPr>
          <w:color w:val="000000"/>
        </w:rPr>
        <w:t xml:space="preserve"> at a time when there is a diminution in their information role. </w:t>
      </w:r>
      <w:r w:rsidR="0093535A">
        <w:rPr>
          <w:color w:val="000000"/>
        </w:rPr>
        <w:t xml:space="preserve"> </w:t>
      </w:r>
    </w:p>
    <w:p w14:paraId="0A2B4FBF" w14:textId="77777777" w:rsidR="005E2A45" w:rsidRDefault="005E2A45" w:rsidP="00104C14">
      <w:pPr>
        <w:spacing w:line="360" w:lineRule="auto"/>
        <w:jc w:val="both"/>
        <w:rPr>
          <w:color w:val="000000"/>
        </w:rPr>
      </w:pPr>
    </w:p>
    <w:p w14:paraId="52C3D080" w14:textId="39A0C059" w:rsidR="006E02FD" w:rsidRDefault="00B51177" w:rsidP="00104C14">
      <w:pPr>
        <w:spacing w:line="360" w:lineRule="auto"/>
        <w:jc w:val="both"/>
        <w:rPr>
          <w:color w:val="000000"/>
        </w:rPr>
      </w:pPr>
      <w:r>
        <w:rPr>
          <w:color w:val="000000"/>
        </w:rPr>
        <w:t>Th</w:t>
      </w:r>
      <w:r w:rsidR="009F1B4B">
        <w:rPr>
          <w:color w:val="000000"/>
        </w:rPr>
        <w:t>is</w:t>
      </w:r>
      <w:r>
        <w:rPr>
          <w:color w:val="000000"/>
        </w:rPr>
        <w:t xml:space="preserve"> review </w:t>
      </w:r>
      <w:r w:rsidR="009F1B4B">
        <w:rPr>
          <w:color w:val="000000"/>
        </w:rPr>
        <w:t xml:space="preserve">identifies a selection of </w:t>
      </w:r>
      <w:r>
        <w:rPr>
          <w:color w:val="000000"/>
        </w:rPr>
        <w:t xml:space="preserve">evidence highlighting </w:t>
      </w:r>
      <w:r w:rsidR="000572BB">
        <w:rPr>
          <w:color w:val="000000"/>
        </w:rPr>
        <w:t>both the value and the valuing</w:t>
      </w:r>
      <w:r>
        <w:rPr>
          <w:color w:val="000000"/>
        </w:rPr>
        <w:t xml:space="preserve"> </w:t>
      </w:r>
      <w:r w:rsidR="009F1B4B">
        <w:rPr>
          <w:color w:val="000000"/>
        </w:rPr>
        <w:t xml:space="preserve">of public </w:t>
      </w:r>
      <w:r>
        <w:rPr>
          <w:color w:val="000000"/>
        </w:rPr>
        <w:t xml:space="preserve">libraries. </w:t>
      </w:r>
      <w:r w:rsidR="006E02FD">
        <w:rPr>
          <w:color w:val="000000"/>
        </w:rPr>
        <w:t xml:space="preserve">Six </w:t>
      </w:r>
      <w:r w:rsidR="00993F4D">
        <w:rPr>
          <w:color w:val="000000"/>
        </w:rPr>
        <w:t xml:space="preserve">value </w:t>
      </w:r>
      <w:r w:rsidR="006E02FD">
        <w:rPr>
          <w:color w:val="000000"/>
        </w:rPr>
        <w:t xml:space="preserve">areas emerge from largely university-based, or university-library collaborated internationally published research. </w:t>
      </w:r>
      <w:r w:rsidR="00993F4D">
        <w:rPr>
          <w:color w:val="000000"/>
        </w:rPr>
        <w:t xml:space="preserve">Social value was the dominant area identified in selected literature, followed by the library’s educative value and importance as an equitable public institution.  </w:t>
      </w:r>
      <w:r w:rsidR="009F1B4B">
        <w:rPr>
          <w:color w:val="000000"/>
        </w:rPr>
        <w:t>Emerging to a lesser extent were public libraries</w:t>
      </w:r>
      <w:r w:rsidR="00C6007B">
        <w:rPr>
          <w:color w:val="000000"/>
        </w:rPr>
        <w:t>’</w:t>
      </w:r>
      <w:r w:rsidR="009F1B4B">
        <w:rPr>
          <w:color w:val="000000"/>
        </w:rPr>
        <w:t xml:space="preserve"> economic value, community ownership and finally institutional culture and public sphere value.</w:t>
      </w:r>
    </w:p>
    <w:p w14:paraId="63E9CD6A" w14:textId="030A4210" w:rsidR="009F1B4B" w:rsidRDefault="009F1B4B" w:rsidP="00104C14">
      <w:pPr>
        <w:spacing w:line="360" w:lineRule="auto"/>
        <w:jc w:val="both"/>
        <w:rPr>
          <w:color w:val="000000"/>
        </w:rPr>
      </w:pPr>
    </w:p>
    <w:p w14:paraId="773D2F2C" w14:textId="3239B6DC" w:rsidR="0093535A" w:rsidRDefault="00AF57B9" w:rsidP="00104C14">
      <w:pPr>
        <w:spacing w:line="360" w:lineRule="auto"/>
        <w:jc w:val="both"/>
        <w:rPr>
          <w:color w:val="000000"/>
        </w:rPr>
      </w:pPr>
      <w:r>
        <w:rPr>
          <w:color w:val="000000"/>
        </w:rPr>
        <w:t>Although the evaluation and social impact of public libraries is high</w:t>
      </w:r>
      <w:r w:rsidR="007324A3">
        <w:rPr>
          <w:color w:val="000000"/>
        </w:rPr>
        <w:t>ly</w:t>
      </w:r>
      <w:r>
        <w:rPr>
          <w:color w:val="000000"/>
        </w:rPr>
        <w:t xml:space="preserve"> topical, many </w:t>
      </w:r>
      <w:r w:rsidR="007324A3">
        <w:rPr>
          <w:color w:val="000000"/>
        </w:rPr>
        <w:t>papers</w:t>
      </w:r>
      <w:r>
        <w:rPr>
          <w:color w:val="000000"/>
        </w:rPr>
        <w:t xml:space="preserve"> acknowledge the lack of an accepted methodology for providing evidence on the value of public libraries, or a consensus about how that value is defined</w:t>
      </w:r>
      <w:r w:rsidR="007324A3">
        <w:rPr>
          <w:color w:val="000000"/>
        </w:rPr>
        <w:t>.</w:t>
      </w:r>
    </w:p>
    <w:p w14:paraId="7C871CE6" w14:textId="77777777" w:rsidR="001B050C" w:rsidRDefault="001B050C" w:rsidP="00104C14">
      <w:pPr>
        <w:spacing w:line="276" w:lineRule="auto"/>
        <w:jc w:val="both"/>
        <w:rPr>
          <w:color w:val="000000"/>
          <w:lang w:val="en-AU"/>
        </w:rPr>
      </w:pPr>
    </w:p>
    <w:p w14:paraId="5512B7A0" w14:textId="77777777" w:rsidR="00570FC7" w:rsidRPr="00514EC2" w:rsidRDefault="00570FC7" w:rsidP="00104C14">
      <w:pPr>
        <w:spacing w:line="276" w:lineRule="auto"/>
        <w:jc w:val="both"/>
        <w:rPr>
          <w:color w:val="000000"/>
          <w:lang w:val="en-AU"/>
        </w:rPr>
      </w:pPr>
    </w:p>
    <w:p w14:paraId="666CADA5" w14:textId="77777777" w:rsidR="001B050C" w:rsidRPr="00514EC2" w:rsidRDefault="001B050C" w:rsidP="00104C14">
      <w:pPr>
        <w:spacing w:line="276" w:lineRule="auto"/>
        <w:jc w:val="both"/>
        <w:rPr>
          <w:color w:val="000000"/>
        </w:rPr>
      </w:pPr>
    </w:p>
    <w:p w14:paraId="58CB47DD" w14:textId="77777777" w:rsidR="00570FC7" w:rsidRDefault="00570FC7" w:rsidP="00104C14">
      <w:pPr>
        <w:spacing w:line="360" w:lineRule="auto"/>
        <w:jc w:val="both"/>
        <w:rPr>
          <w:b/>
          <w:bCs/>
          <w:color w:val="000000"/>
          <w:sz w:val="28"/>
        </w:rPr>
      </w:pPr>
    </w:p>
    <w:p w14:paraId="724E8A26" w14:textId="2E97B145" w:rsidR="001B050C" w:rsidRPr="00CB50AC" w:rsidRDefault="001B050C" w:rsidP="00104C14">
      <w:pPr>
        <w:spacing w:line="360" w:lineRule="auto"/>
        <w:jc w:val="both"/>
        <w:rPr>
          <w:b/>
          <w:bCs/>
          <w:color w:val="000000"/>
          <w:sz w:val="28"/>
        </w:rPr>
      </w:pPr>
      <w:r w:rsidRPr="00CB50AC">
        <w:rPr>
          <w:b/>
          <w:bCs/>
          <w:color w:val="000000"/>
          <w:sz w:val="28"/>
        </w:rPr>
        <w:t>What does recent evidence tell us</w:t>
      </w:r>
      <w:r>
        <w:rPr>
          <w:b/>
          <w:bCs/>
          <w:color w:val="000000"/>
          <w:sz w:val="28"/>
        </w:rPr>
        <w:t xml:space="preserve"> about the value of libraries</w:t>
      </w:r>
      <w:r w:rsidRPr="00CB50AC">
        <w:rPr>
          <w:b/>
          <w:bCs/>
          <w:color w:val="000000"/>
          <w:sz w:val="28"/>
        </w:rPr>
        <w:t xml:space="preserve">? </w:t>
      </w:r>
    </w:p>
    <w:p w14:paraId="01C20DCC" w14:textId="77777777" w:rsidR="001A4CC5" w:rsidRDefault="001A4CC5" w:rsidP="00104C14">
      <w:pPr>
        <w:pStyle w:val="Subtitle"/>
        <w:jc w:val="both"/>
        <w:rPr>
          <w:rStyle w:val="Strong"/>
          <w:rFonts w:ascii="Times New Roman" w:hAnsi="Times New Roman"/>
          <w:color w:val="000000"/>
          <w:sz w:val="28"/>
          <w:szCs w:val="28"/>
        </w:rPr>
      </w:pPr>
    </w:p>
    <w:p w14:paraId="0637EE62" w14:textId="3B9080F9" w:rsidR="00764D17" w:rsidRPr="00B51920" w:rsidRDefault="001A4CC5" w:rsidP="00104C14">
      <w:pPr>
        <w:spacing w:line="276" w:lineRule="auto"/>
        <w:jc w:val="both"/>
        <w:rPr>
          <w:lang w:val="en"/>
        </w:rPr>
      </w:pPr>
      <w:r>
        <w:rPr>
          <w:color w:val="000000"/>
        </w:rPr>
        <w:t xml:space="preserve">Literature searches were conducted </w:t>
      </w:r>
      <w:r w:rsidR="00C6007B">
        <w:rPr>
          <w:color w:val="000000"/>
        </w:rPr>
        <w:t>cove</w:t>
      </w:r>
      <w:r w:rsidR="00B51177">
        <w:rPr>
          <w:color w:val="000000"/>
        </w:rPr>
        <w:t>ring</w:t>
      </w:r>
      <w:r>
        <w:rPr>
          <w:color w:val="000000"/>
        </w:rPr>
        <w:t xml:space="preserve"> the period 2009 to 2019</w:t>
      </w:r>
      <w:r w:rsidR="00B51177">
        <w:rPr>
          <w:color w:val="000000"/>
        </w:rPr>
        <w:t xml:space="preserve"> using key search terms</w:t>
      </w:r>
      <w:r>
        <w:rPr>
          <w:color w:val="000000"/>
        </w:rPr>
        <w:t xml:space="preserve">. A summary of this process </w:t>
      </w:r>
      <w:r w:rsidR="00603DC7">
        <w:rPr>
          <w:color w:val="000000"/>
        </w:rPr>
        <w:t>is provided in</w:t>
      </w:r>
      <w:r>
        <w:rPr>
          <w:color w:val="000000"/>
        </w:rPr>
        <w:t xml:space="preserve"> Appendix B. In total </w:t>
      </w:r>
      <w:r w:rsidR="00A836FD">
        <w:rPr>
          <w:color w:val="000000"/>
        </w:rPr>
        <w:t>19</w:t>
      </w:r>
      <w:r>
        <w:rPr>
          <w:color w:val="000000"/>
        </w:rPr>
        <w:t xml:space="preserve"> papers form part of the</w:t>
      </w:r>
      <w:r w:rsidR="00603DC7">
        <w:rPr>
          <w:color w:val="000000"/>
        </w:rPr>
        <w:t xml:space="preserve"> analysis of the value of libraries.</w:t>
      </w:r>
      <w:r>
        <w:rPr>
          <w:color w:val="000000"/>
        </w:rPr>
        <w:t xml:space="preserve"> </w:t>
      </w:r>
      <w:r w:rsidR="00603DC7">
        <w:rPr>
          <w:color w:val="000000"/>
        </w:rPr>
        <w:t>These</w:t>
      </w:r>
      <w:r w:rsidR="00764D17">
        <w:rPr>
          <w:color w:val="000000"/>
        </w:rPr>
        <w:t xml:space="preserve"> included: f</w:t>
      </w:r>
      <w:r w:rsidR="00764D17">
        <w:t xml:space="preserve">our quantitative, eight qualitative </w:t>
      </w:r>
      <w:r w:rsidR="00603DC7">
        <w:t>and</w:t>
      </w:r>
      <w:r w:rsidR="00764D17" w:rsidRPr="00B51920">
        <w:t xml:space="preserve"> </w:t>
      </w:r>
      <w:r w:rsidR="00764D17">
        <w:t>three</w:t>
      </w:r>
      <w:r w:rsidR="00764D17" w:rsidRPr="00B51920">
        <w:t xml:space="preserve"> mixed method</w:t>
      </w:r>
      <w:r w:rsidR="00603DC7">
        <w:t xml:space="preserve"> studies and </w:t>
      </w:r>
      <w:r w:rsidR="00A836FD">
        <w:t>four</w:t>
      </w:r>
      <w:r w:rsidR="00603DC7">
        <w:t xml:space="preserve"> </w:t>
      </w:r>
      <w:r w:rsidR="00603DC7" w:rsidRPr="00B51920">
        <w:t>literature</w:t>
      </w:r>
      <w:r w:rsidR="00764D17" w:rsidRPr="00B51920">
        <w:t xml:space="preserve"> review</w:t>
      </w:r>
      <w:r w:rsidR="00B51177">
        <w:t>s</w:t>
      </w:r>
      <w:r w:rsidR="00A836FD">
        <w:t xml:space="preserve"> or critiques</w:t>
      </w:r>
      <w:r w:rsidR="00603DC7">
        <w:t>.</w:t>
      </w:r>
      <w:r w:rsidR="00EC7789">
        <w:t xml:space="preserve"> Of the</w:t>
      </w:r>
      <w:r w:rsidR="004E7BC8">
        <w:t xml:space="preserve"> empirical studies, five were conducted in Australia, four in the US, three in the UK</w:t>
      </w:r>
      <w:r w:rsidR="0097121E">
        <w:t>, two</w:t>
      </w:r>
      <w:r w:rsidR="004E7BC8">
        <w:t xml:space="preserve"> in Europe and one in Canada.</w:t>
      </w:r>
      <w:r w:rsidR="00EC7789">
        <w:t xml:space="preserve"> </w:t>
      </w:r>
    </w:p>
    <w:p w14:paraId="241D9DC6" w14:textId="237A53DB" w:rsidR="001A4CC5" w:rsidRPr="00CB50AC" w:rsidRDefault="001A4CC5" w:rsidP="00104C14">
      <w:pPr>
        <w:spacing w:line="276" w:lineRule="auto"/>
        <w:jc w:val="both"/>
        <w:rPr>
          <w:color w:val="000000"/>
        </w:rPr>
      </w:pPr>
    </w:p>
    <w:p w14:paraId="62F89DF7" w14:textId="66D49115" w:rsidR="001B050C" w:rsidRPr="00320A1F" w:rsidRDefault="001B050C" w:rsidP="00104C14">
      <w:pPr>
        <w:spacing w:line="276" w:lineRule="auto"/>
        <w:jc w:val="both"/>
      </w:pPr>
      <w:proofErr w:type="spellStart"/>
      <w:r w:rsidRPr="00320A1F">
        <w:t>Usherwood</w:t>
      </w:r>
      <w:proofErr w:type="spellEnd"/>
      <w:r w:rsidR="00D14274" w:rsidRPr="00320A1F">
        <w:t xml:space="preserve"> </w:t>
      </w:r>
      <w:r w:rsidRPr="00320A1F">
        <w:t>(2002) argues that a social audit approach has merit in demonstrating</w:t>
      </w:r>
      <w:r>
        <w:t xml:space="preserve"> the value of public libraries due to a range of commonly occurring factors. The review of literature</w:t>
      </w:r>
      <w:r w:rsidRPr="00320A1F">
        <w:t xml:space="preserve"> </w:t>
      </w:r>
      <w:proofErr w:type="spellStart"/>
      <w:r w:rsidRPr="00320A1F">
        <w:t>summarised</w:t>
      </w:r>
      <w:proofErr w:type="spellEnd"/>
      <w:r w:rsidRPr="00320A1F">
        <w:t xml:space="preserve"> in Appendix A </w:t>
      </w:r>
      <w:r w:rsidR="00AF57B9">
        <w:t xml:space="preserve">is </w:t>
      </w:r>
      <w:proofErr w:type="spellStart"/>
      <w:r w:rsidR="00A836FD">
        <w:t>synthesis</w:t>
      </w:r>
      <w:r w:rsidR="00AF57B9">
        <w:t>ed</w:t>
      </w:r>
      <w:proofErr w:type="spellEnd"/>
      <w:r w:rsidR="00AF57B9">
        <w:t xml:space="preserve"> </w:t>
      </w:r>
      <w:r w:rsidR="00A836FD">
        <w:t xml:space="preserve">using </w:t>
      </w:r>
      <w:proofErr w:type="spellStart"/>
      <w:r>
        <w:t>Usherwood’s</w:t>
      </w:r>
      <w:proofErr w:type="spellEnd"/>
      <w:r>
        <w:t xml:space="preserve"> factors </w:t>
      </w:r>
      <w:r w:rsidR="00A836FD">
        <w:t>(2002, p. 118) as an explanatory</w:t>
      </w:r>
      <w:r>
        <w:t xml:space="preserve"> framework. These include</w:t>
      </w:r>
      <w:r w:rsidRPr="00320A1F">
        <w:t>:</w:t>
      </w:r>
    </w:p>
    <w:p w14:paraId="76D0F2EE" w14:textId="77777777" w:rsidR="001B050C" w:rsidRPr="00320A1F" w:rsidRDefault="001B050C" w:rsidP="00104C14">
      <w:pPr>
        <w:spacing w:line="276" w:lineRule="auto"/>
        <w:jc w:val="both"/>
      </w:pPr>
    </w:p>
    <w:p w14:paraId="107F3CD4" w14:textId="77777777" w:rsidR="004516A3" w:rsidRPr="00320A1F" w:rsidRDefault="004516A3" w:rsidP="00104C14">
      <w:pPr>
        <w:pStyle w:val="ListParagraph"/>
        <w:numPr>
          <w:ilvl w:val="0"/>
          <w:numId w:val="30"/>
        </w:numPr>
        <w:tabs>
          <w:tab w:val="left" w:pos="4794"/>
        </w:tabs>
        <w:kinsoku w:val="0"/>
        <w:overflowPunct w:val="0"/>
        <w:autoSpaceDE w:val="0"/>
        <w:autoSpaceDN w:val="0"/>
        <w:adjustRightInd w:val="0"/>
        <w:spacing w:before="31" w:line="276" w:lineRule="auto"/>
        <w:jc w:val="both"/>
        <w:rPr>
          <w:rFonts w:eastAsiaTheme="minorHAnsi"/>
          <w:lang w:val="en-AU"/>
        </w:rPr>
      </w:pPr>
      <w:r w:rsidRPr="00320A1F">
        <w:rPr>
          <w:rFonts w:eastAsiaTheme="minorHAnsi"/>
          <w:lang w:val="en-AU"/>
        </w:rPr>
        <w:t>the</w:t>
      </w:r>
      <w:r w:rsidRPr="00320A1F">
        <w:rPr>
          <w:rFonts w:eastAsiaTheme="minorHAnsi"/>
          <w:spacing w:val="19"/>
          <w:lang w:val="en-AU"/>
        </w:rPr>
        <w:t xml:space="preserve"> </w:t>
      </w:r>
      <w:r w:rsidRPr="00320A1F">
        <w:rPr>
          <w:rFonts w:eastAsiaTheme="minorHAnsi"/>
          <w:lang w:val="en-AU"/>
        </w:rPr>
        <w:t>educational</w:t>
      </w:r>
      <w:r w:rsidRPr="00320A1F">
        <w:rPr>
          <w:rFonts w:eastAsiaTheme="minorHAnsi"/>
          <w:spacing w:val="17"/>
          <w:lang w:val="en-AU"/>
        </w:rPr>
        <w:t xml:space="preserve"> </w:t>
      </w:r>
      <w:r w:rsidRPr="00320A1F">
        <w:rPr>
          <w:rFonts w:eastAsiaTheme="minorHAnsi"/>
          <w:lang w:val="en-AU"/>
        </w:rPr>
        <w:t>role</w:t>
      </w:r>
      <w:r w:rsidRPr="00320A1F">
        <w:rPr>
          <w:rFonts w:eastAsiaTheme="minorHAnsi"/>
          <w:spacing w:val="19"/>
          <w:lang w:val="en-AU"/>
        </w:rPr>
        <w:t xml:space="preserve"> </w:t>
      </w:r>
      <w:r w:rsidRPr="00320A1F">
        <w:rPr>
          <w:rFonts w:eastAsiaTheme="minorHAnsi"/>
          <w:lang w:val="en-AU"/>
        </w:rPr>
        <w:t>of</w:t>
      </w:r>
      <w:r w:rsidRPr="00320A1F">
        <w:rPr>
          <w:rFonts w:eastAsiaTheme="minorHAnsi"/>
          <w:spacing w:val="18"/>
          <w:lang w:val="en-AU"/>
        </w:rPr>
        <w:t xml:space="preserve"> </w:t>
      </w:r>
      <w:r w:rsidRPr="00320A1F">
        <w:rPr>
          <w:rFonts w:eastAsiaTheme="minorHAnsi"/>
          <w:lang w:val="en-AU"/>
        </w:rPr>
        <w:t>the</w:t>
      </w:r>
      <w:r w:rsidRPr="00320A1F">
        <w:rPr>
          <w:rFonts w:eastAsiaTheme="minorHAnsi"/>
          <w:spacing w:val="19"/>
          <w:lang w:val="en-AU"/>
        </w:rPr>
        <w:t xml:space="preserve"> </w:t>
      </w:r>
      <w:r w:rsidRPr="00320A1F">
        <w:rPr>
          <w:rFonts w:eastAsiaTheme="minorHAnsi"/>
          <w:lang w:val="en-AU"/>
        </w:rPr>
        <w:t>library</w:t>
      </w:r>
    </w:p>
    <w:p w14:paraId="49048B5F" w14:textId="77777777" w:rsidR="001B050C" w:rsidRPr="00320A1F" w:rsidRDefault="001B050C" w:rsidP="00104C14">
      <w:pPr>
        <w:pStyle w:val="ListParagraph"/>
        <w:numPr>
          <w:ilvl w:val="0"/>
          <w:numId w:val="30"/>
        </w:numPr>
        <w:tabs>
          <w:tab w:val="left" w:pos="4794"/>
        </w:tabs>
        <w:kinsoku w:val="0"/>
        <w:overflowPunct w:val="0"/>
        <w:autoSpaceDE w:val="0"/>
        <w:autoSpaceDN w:val="0"/>
        <w:adjustRightInd w:val="0"/>
        <w:spacing w:line="276" w:lineRule="auto"/>
        <w:jc w:val="both"/>
        <w:rPr>
          <w:rFonts w:eastAsiaTheme="minorHAnsi"/>
          <w:lang w:val="en-AU"/>
        </w:rPr>
      </w:pPr>
      <w:r w:rsidRPr="00320A1F">
        <w:rPr>
          <w:rFonts w:eastAsiaTheme="minorHAnsi"/>
          <w:lang w:val="en-AU"/>
        </w:rPr>
        <w:t>the</w:t>
      </w:r>
      <w:r w:rsidRPr="00320A1F">
        <w:rPr>
          <w:rFonts w:eastAsiaTheme="minorHAnsi"/>
          <w:spacing w:val="19"/>
          <w:lang w:val="en-AU"/>
        </w:rPr>
        <w:t xml:space="preserve"> </w:t>
      </w:r>
      <w:r w:rsidRPr="00320A1F">
        <w:rPr>
          <w:rFonts w:eastAsiaTheme="minorHAnsi"/>
          <w:lang w:val="en-AU"/>
        </w:rPr>
        <w:t>social</w:t>
      </w:r>
      <w:r w:rsidRPr="00320A1F">
        <w:rPr>
          <w:rFonts w:eastAsiaTheme="minorHAnsi"/>
          <w:spacing w:val="17"/>
          <w:lang w:val="en-AU"/>
        </w:rPr>
        <w:t xml:space="preserve"> </w:t>
      </w:r>
      <w:r w:rsidRPr="00320A1F">
        <w:rPr>
          <w:rFonts w:eastAsiaTheme="minorHAnsi"/>
          <w:lang w:val="en-AU"/>
        </w:rPr>
        <w:t>role</w:t>
      </w:r>
      <w:r w:rsidRPr="00320A1F">
        <w:rPr>
          <w:rFonts w:eastAsiaTheme="minorHAnsi"/>
          <w:spacing w:val="18"/>
          <w:lang w:val="en-AU"/>
        </w:rPr>
        <w:t xml:space="preserve"> </w:t>
      </w:r>
      <w:r w:rsidRPr="00320A1F">
        <w:rPr>
          <w:rFonts w:eastAsiaTheme="minorHAnsi"/>
          <w:lang w:val="en-AU"/>
        </w:rPr>
        <w:t>of</w:t>
      </w:r>
      <w:r w:rsidRPr="00320A1F">
        <w:rPr>
          <w:rFonts w:eastAsiaTheme="minorHAnsi"/>
          <w:spacing w:val="18"/>
          <w:lang w:val="en-AU"/>
        </w:rPr>
        <w:t xml:space="preserve"> </w:t>
      </w:r>
      <w:r w:rsidRPr="00320A1F">
        <w:rPr>
          <w:rFonts w:eastAsiaTheme="minorHAnsi"/>
          <w:lang w:val="en-AU"/>
        </w:rPr>
        <w:t>the</w:t>
      </w:r>
      <w:r w:rsidRPr="00320A1F">
        <w:rPr>
          <w:rFonts w:eastAsiaTheme="minorHAnsi"/>
          <w:spacing w:val="18"/>
          <w:lang w:val="en-AU"/>
        </w:rPr>
        <w:t xml:space="preserve"> </w:t>
      </w:r>
      <w:r w:rsidRPr="00320A1F">
        <w:rPr>
          <w:rFonts w:eastAsiaTheme="minorHAnsi"/>
          <w:lang w:val="en-AU"/>
        </w:rPr>
        <w:t>library</w:t>
      </w:r>
    </w:p>
    <w:p w14:paraId="4E639F8A" w14:textId="77777777" w:rsidR="001B050C" w:rsidRPr="00320A1F" w:rsidRDefault="001B050C" w:rsidP="00104C14">
      <w:pPr>
        <w:pStyle w:val="ListParagraph"/>
        <w:numPr>
          <w:ilvl w:val="0"/>
          <w:numId w:val="30"/>
        </w:numPr>
        <w:tabs>
          <w:tab w:val="left" w:pos="4794"/>
        </w:tabs>
        <w:kinsoku w:val="0"/>
        <w:overflowPunct w:val="0"/>
        <w:autoSpaceDE w:val="0"/>
        <w:autoSpaceDN w:val="0"/>
        <w:adjustRightInd w:val="0"/>
        <w:spacing w:before="32" w:line="276" w:lineRule="auto"/>
        <w:jc w:val="both"/>
        <w:rPr>
          <w:rFonts w:eastAsiaTheme="minorHAnsi"/>
          <w:lang w:val="en-AU"/>
        </w:rPr>
      </w:pPr>
      <w:r w:rsidRPr="00320A1F">
        <w:rPr>
          <w:rFonts w:eastAsiaTheme="minorHAnsi"/>
          <w:lang w:val="en-AU"/>
        </w:rPr>
        <w:t>community</w:t>
      </w:r>
      <w:r w:rsidRPr="00320A1F">
        <w:rPr>
          <w:rFonts w:eastAsiaTheme="minorHAnsi"/>
          <w:spacing w:val="18"/>
          <w:lang w:val="en-AU"/>
        </w:rPr>
        <w:t xml:space="preserve"> </w:t>
      </w:r>
      <w:r w:rsidRPr="00320A1F">
        <w:rPr>
          <w:rFonts w:eastAsiaTheme="minorHAnsi"/>
          <w:lang w:val="en-AU"/>
        </w:rPr>
        <w:t>ownership</w:t>
      </w:r>
    </w:p>
    <w:p w14:paraId="2CD683AB" w14:textId="77777777" w:rsidR="001B050C" w:rsidRPr="00320A1F" w:rsidRDefault="001B050C" w:rsidP="00104C14">
      <w:pPr>
        <w:pStyle w:val="ListParagraph"/>
        <w:numPr>
          <w:ilvl w:val="0"/>
          <w:numId w:val="30"/>
        </w:numPr>
        <w:tabs>
          <w:tab w:val="left" w:pos="4794"/>
        </w:tabs>
        <w:kinsoku w:val="0"/>
        <w:overflowPunct w:val="0"/>
        <w:autoSpaceDE w:val="0"/>
        <w:autoSpaceDN w:val="0"/>
        <w:adjustRightInd w:val="0"/>
        <w:spacing w:before="33" w:line="276" w:lineRule="auto"/>
        <w:jc w:val="both"/>
        <w:rPr>
          <w:rFonts w:eastAsiaTheme="minorHAnsi"/>
          <w:lang w:val="en-AU"/>
        </w:rPr>
      </w:pPr>
      <w:r w:rsidRPr="00320A1F">
        <w:rPr>
          <w:rFonts w:eastAsiaTheme="minorHAnsi"/>
          <w:lang w:val="en-AU"/>
        </w:rPr>
        <w:t>the</w:t>
      </w:r>
      <w:r w:rsidRPr="00320A1F">
        <w:rPr>
          <w:rFonts w:eastAsiaTheme="minorHAnsi"/>
          <w:spacing w:val="19"/>
          <w:lang w:val="en-AU"/>
        </w:rPr>
        <w:t xml:space="preserve"> </w:t>
      </w:r>
      <w:r w:rsidRPr="00320A1F">
        <w:rPr>
          <w:rFonts w:eastAsiaTheme="minorHAnsi"/>
          <w:lang w:val="en-AU"/>
        </w:rPr>
        <w:t>economic</w:t>
      </w:r>
      <w:r w:rsidRPr="00320A1F">
        <w:rPr>
          <w:rFonts w:eastAsiaTheme="minorHAnsi"/>
          <w:spacing w:val="20"/>
          <w:lang w:val="en-AU"/>
        </w:rPr>
        <w:t xml:space="preserve"> </w:t>
      </w:r>
      <w:r w:rsidRPr="00320A1F">
        <w:rPr>
          <w:rFonts w:eastAsiaTheme="minorHAnsi"/>
          <w:lang w:val="en-AU"/>
        </w:rPr>
        <w:t>impact</w:t>
      </w:r>
      <w:r w:rsidRPr="00320A1F">
        <w:rPr>
          <w:rFonts w:eastAsiaTheme="minorHAnsi"/>
          <w:spacing w:val="16"/>
          <w:lang w:val="en-AU"/>
        </w:rPr>
        <w:t xml:space="preserve"> </w:t>
      </w:r>
      <w:r w:rsidRPr="00320A1F">
        <w:rPr>
          <w:rFonts w:eastAsiaTheme="minorHAnsi"/>
          <w:lang w:val="en-AU"/>
        </w:rPr>
        <w:t>of</w:t>
      </w:r>
      <w:r w:rsidRPr="00320A1F">
        <w:rPr>
          <w:rFonts w:eastAsiaTheme="minorHAnsi"/>
          <w:spacing w:val="18"/>
          <w:lang w:val="en-AU"/>
        </w:rPr>
        <w:t xml:space="preserve"> </w:t>
      </w:r>
      <w:r w:rsidRPr="00320A1F">
        <w:rPr>
          <w:rFonts w:eastAsiaTheme="minorHAnsi"/>
          <w:lang w:val="en-AU"/>
        </w:rPr>
        <w:t>the</w:t>
      </w:r>
      <w:r w:rsidRPr="00320A1F">
        <w:rPr>
          <w:rFonts w:eastAsiaTheme="minorHAnsi"/>
          <w:spacing w:val="19"/>
          <w:lang w:val="en-AU"/>
        </w:rPr>
        <w:t xml:space="preserve"> </w:t>
      </w:r>
      <w:r w:rsidRPr="00320A1F">
        <w:rPr>
          <w:rFonts w:eastAsiaTheme="minorHAnsi"/>
          <w:lang w:val="en-AU"/>
        </w:rPr>
        <w:t>library</w:t>
      </w:r>
    </w:p>
    <w:p w14:paraId="7E6ADD5B" w14:textId="77777777" w:rsidR="001B050C" w:rsidRPr="00320A1F" w:rsidRDefault="001B050C" w:rsidP="00104C14">
      <w:pPr>
        <w:pStyle w:val="ListParagraph"/>
        <w:numPr>
          <w:ilvl w:val="0"/>
          <w:numId w:val="30"/>
        </w:numPr>
        <w:tabs>
          <w:tab w:val="left" w:pos="4794"/>
        </w:tabs>
        <w:kinsoku w:val="0"/>
        <w:overflowPunct w:val="0"/>
        <w:autoSpaceDE w:val="0"/>
        <w:autoSpaceDN w:val="0"/>
        <w:adjustRightInd w:val="0"/>
        <w:spacing w:line="276" w:lineRule="auto"/>
        <w:jc w:val="both"/>
        <w:rPr>
          <w:rFonts w:eastAsiaTheme="minorHAnsi"/>
          <w:lang w:val="en-AU"/>
        </w:rPr>
      </w:pPr>
      <w:r w:rsidRPr="00320A1F">
        <w:rPr>
          <w:rFonts w:eastAsiaTheme="minorHAnsi"/>
          <w:lang w:val="en-AU"/>
        </w:rPr>
        <w:t>equity in service</w:t>
      </w:r>
      <w:r w:rsidRPr="00320A1F">
        <w:rPr>
          <w:rFonts w:eastAsiaTheme="minorHAnsi"/>
          <w:spacing w:val="9"/>
          <w:lang w:val="en-AU"/>
        </w:rPr>
        <w:t xml:space="preserve"> </w:t>
      </w:r>
      <w:r w:rsidRPr="00320A1F">
        <w:rPr>
          <w:rFonts w:eastAsiaTheme="minorHAnsi"/>
          <w:lang w:val="en-AU"/>
        </w:rPr>
        <w:t>delivery</w:t>
      </w:r>
    </w:p>
    <w:p w14:paraId="64BADC99" w14:textId="77777777" w:rsidR="001B050C" w:rsidRPr="00320A1F" w:rsidRDefault="001B050C" w:rsidP="00104C14">
      <w:pPr>
        <w:pStyle w:val="ListParagraph"/>
        <w:numPr>
          <w:ilvl w:val="0"/>
          <w:numId w:val="30"/>
        </w:numPr>
        <w:tabs>
          <w:tab w:val="left" w:pos="4794"/>
        </w:tabs>
        <w:kinsoku w:val="0"/>
        <w:overflowPunct w:val="0"/>
        <w:autoSpaceDE w:val="0"/>
        <w:autoSpaceDN w:val="0"/>
        <w:adjustRightInd w:val="0"/>
        <w:spacing w:line="276" w:lineRule="auto"/>
        <w:jc w:val="both"/>
        <w:rPr>
          <w:rFonts w:eastAsiaTheme="minorHAnsi"/>
          <w:lang w:val="en-AU"/>
        </w:rPr>
      </w:pPr>
      <w:r w:rsidRPr="00320A1F">
        <w:rPr>
          <w:rFonts w:eastAsiaTheme="minorHAnsi"/>
          <w:lang w:val="en-AU"/>
        </w:rPr>
        <w:t>cultural centres and public spaces</w:t>
      </w:r>
    </w:p>
    <w:p w14:paraId="6FADD330" w14:textId="77777777" w:rsidR="001B050C" w:rsidRDefault="001B050C" w:rsidP="00104C14">
      <w:pPr>
        <w:spacing w:line="276" w:lineRule="auto"/>
        <w:jc w:val="both"/>
      </w:pPr>
    </w:p>
    <w:p w14:paraId="7A8BD112" w14:textId="777AA27A" w:rsidR="001B050C" w:rsidRDefault="001B050C" w:rsidP="00104C14">
      <w:pPr>
        <w:spacing w:line="276" w:lineRule="auto"/>
        <w:jc w:val="both"/>
      </w:pPr>
    </w:p>
    <w:p w14:paraId="2D6E724B" w14:textId="77777777" w:rsidR="004516A3" w:rsidRPr="001B050C" w:rsidRDefault="004516A3" w:rsidP="00104C14">
      <w:pPr>
        <w:pStyle w:val="ListParagraph"/>
        <w:numPr>
          <w:ilvl w:val="0"/>
          <w:numId w:val="31"/>
        </w:numPr>
        <w:tabs>
          <w:tab w:val="left" w:pos="4794"/>
        </w:tabs>
        <w:kinsoku w:val="0"/>
        <w:overflowPunct w:val="0"/>
        <w:autoSpaceDE w:val="0"/>
        <w:autoSpaceDN w:val="0"/>
        <w:adjustRightInd w:val="0"/>
        <w:spacing w:before="31" w:line="276" w:lineRule="auto"/>
        <w:jc w:val="both"/>
        <w:rPr>
          <w:rFonts w:eastAsiaTheme="minorHAnsi"/>
          <w:b/>
          <w:sz w:val="28"/>
          <w:szCs w:val="28"/>
          <w:lang w:val="en-AU"/>
        </w:rPr>
      </w:pPr>
      <w:r w:rsidRPr="001B050C">
        <w:rPr>
          <w:rFonts w:eastAsiaTheme="minorHAnsi"/>
          <w:b/>
          <w:sz w:val="28"/>
          <w:szCs w:val="28"/>
          <w:lang w:val="en-AU"/>
        </w:rPr>
        <w:t>The</w:t>
      </w:r>
      <w:r w:rsidRPr="001B050C">
        <w:rPr>
          <w:rFonts w:eastAsiaTheme="minorHAnsi"/>
          <w:b/>
          <w:spacing w:val="19"/>
          <w:sz w:val="28"/>
          <w:szCs w:val="28"/>
          <w:lang w:val="en-AU"/>
        </w:rPr>
        <w:t xml:space="preserve"> </w:t>
      </w:r>
      <w:r w:rsidRPr="001B050C">
        <w:rPr>
          <w:rFonts w:eastAsiaTheme="minorHAnsi"/>
          <w:b/>
          <w:sz w:val="28"/>
          <w:szCs w:val="28"/>
          <w:lang w:val="en-AU"/>
        </w:rPr>
        <w:t>educational</w:t>
      </w:r>
      <w:r w:rsidRPr="001B050C">
        <w:rPr>
          <w:rFonts w:eastAsiaTheme="minorHAnsi"/>
          <w:b/>
          <w:spacing w:val="17"/>
          <w:sz w:val="28"/>
          <w:szCs w:val="28"/>
          <w:lang w:val="en-AU"/>
        </w:rPr>
        <w:t xml:space="preserve"> </w:t>
      </w:r>
      <w:r w:rsidRPr="001B050C">
        <w:rPr>
          <w:rFonts w:eastAsiaTheme="minorHAnsi"/>
          <w:b/>
          <w:sz w:val="28"/>
          <w:szCs w:val="28"/>
          <w:lang w:val="en-AU"/>
        </w:rPr>
        <w:t>role</w:t>
      </w:r>
      <w:r w:rsidRPr="001B050C">
        <w:rPr>
          <w:rFonts w:eastAsiaTheme="minorHAnsi"/>
          <w:b/>
          <w:spacing w:val="19"/>
          <w:sz w:val="28"/>
          <w:szCs w:val="28"/>
          <w:lang w:val="en-AU"/>
        </w:rPr>
        <w:t xml:space="preserve"> </w:t>
      </w:r>
      <w:r w:rsidRPr="001B050C">
        <w:rPr>
          <w:rFonts w:eastAsiaTheme="minorHAnsi"/>
          <w:b/>
          <w:sz w:val="28"/>
          <w:szCs w:val="28"/>
          <w:lang w:val="en-AU"/>
        </w:rPr>
        <w:t>of</w:t>
      </w:r>
      <w:r w:rsidRPr="001B050C">
        <w:rPr>
          <w:rFonts w:eastAsiaTheme="minorHAnsi"/>
          <w:b/>
          <w:spacing w:val="18"/>
          <w:sz w:val="28"/>
          <w:szCs w:val="28"/>
          <w:lang w:val="en-AU"/>
        </w:rPr>
        <w:t xml:space="preserve"> </w:t>
      </w:r>
      <w:r w:rsidRPr="001B050C">
        <w:rPr>
          <w:rFonts w:eastAsiaTheme="minorHAnsi"/>
          <w:b/>
          <w:sz w:val="28"/>
          <w:szCs w:val="28"/>
          <w:lang w:val="en-AU"/>
        </w:rPr>
        <w:t>the</w:t>
      </w:r>
      <w:r w:rsidRPr="001B050C">
        <w:rPr>
          <w:rFonts w:eastAsiaTheme="minorHAnsi"/>
          <w:b/>
          <w:spacing w:val="19"/>
          <w:sz w:val="28"/>
          <w:szCs w:val="28"/>
          <w:lang w:val="en-AU"/>
        </w:rPr>
        <w:t xml:space="preserve"> </w:t>
      </w:r>
      <w:r w:rsidRPr="001B050C">
        <w:rPr>
          <w:rFonts w:eastAsiaTheme="minorHAnsi"/>
          <w:b/>
          <w:sz w:val="28"/>
          <w:szCs w:val="28"/>
          <w:lang w:val="en-AU"/>
        </w:rPr>
        <w:t>library</w:t>
      </w:r>
    </w:p>
    <w:p w14:paraId="01236E0F" w14:textId="77777777" w:rsidR="004516A3" w:rsidRDefault="004516A3" w:rsidP="00104C14">
      <w:pPr>
        <w:spacing w:line="276" w:lineRule="auto"/>
        <w:jc w:val="both"/>
      </w:pPr>
    </w:p>
    <w:p w14:paraId="4741DB83" w14:textId="77777777" w:rsidR="004516A3" w:rsidRDefault="004516A3" w:rsidP="00104C14">
      <w:pPr>
        <w:spacing w:line="276" w:lineRule="auto"/>
        <w:jc w:val="both"/>
      </w:pPr>
      <w:r>
        <w:t>A combination of mixed method studies and review articles examined the educational value of the library in providing information and knowledge generally, and specifically examining early literacy programs as well as critiquing the library’s role in digital literacy. While lifelong learning was discussed in a number of papers, there was no study that empirically investigated this aspect.</w:t>
      </w:r>
    </w:p>
    <w:p w14:paraId="448F14EC" w14:textId="77777777" w:rsidR="004516A3" w:rsidRDefault="004516A3" w:rsidP="00104C14">
      <w:pPr>
        <w:spacing w:line="276" w:lineRule="auto"/>
        <w:jc w:val="both"/>
      </w:pPr>
    </w:p>
    <w:p w14:paraId="402268FE" w14:textId="778C880A" w:rsidR="004516A3" w:rsidRDefault="004516A3" w:rsidP="00104C14">
      <w:pPr>
        <w:tabs>
          <w:tab w:val="left" w:pos="4794"/>
        </w:tabs>
        <w:kinsoku w:val="0"/>
        <w:overflowPunct w:val="0"/>
        <w:autoSpaceDE w:val="0"/>
        <w:autoSpaceDN w:val="0"/>
        <w:adjustRightInd w:val="0"/>
        <w:spacing w:before="32" w:line="276" w:lineRule="auto"/>
        <w:jc w:val="both"/>
        <w:rPr>
          <w:rFonts w:eastAsia="Calibri"/>
          <w:lang w:val="en-AU"/>
        </w:rPr>
      </w:pPr>
      <w:r w:rsidRPr="00411C4E">
        <w:rPr>
          <w:rFonts w:eastAsiaTheme="minorHAnsi"/>
          <w:b/>
          <w:i/>
          <w:lang w:val="en-AU"/>
        </w:rPr>
        <w:t xml:space="preserve">Providing </w:t>
      </w:r>
      <w:r>
        <w:rPr>
          <w:rFonts w:eastAsiaTheme="minorHAnsi"/>
          <w:b/>
          <w:i/>
          <w:lang w:val="en-AU"/>
        </w:rPr>
        <w:t>i</w:t>
      </w:r>
      <w:r w:rsidRPr="00411C4E">
        <w:rPr>
          <w:rFonts w:eastAsiaTheme="minorHAnsi"/>
          <w:b/>
          <w:i/>
          <w:lang w:val="en-AU"/>
        </w:rPr>
        <w:t>nformation and knowledge</w:t>
      </w:r>
      <w:r>
        <w:rPr>
          <w:rFonts w:eastAsiaTheme="minorHAnsi"/>
          <w:b/>
          <w:lang w:val="en-AU"/>
        </w:rPr>
        <w:t xml:space="preserve">: </w:t>
      </w:r>
      <w:r w:rsidRPr="000335FA">
        <w:rPr>
          <w:rFonts w:eastAsiaTheme="minorHAnsi"/>
          <w:lang w:val="en-AU"/>
        </w:rPr>
        <w:t xml:space="preserve">A </w:t>
      </w:r>
      <w:r>
        <w:rPr>
          <w:rFonts w:eastAsiaTheme="minorHAnsi"/>
          <w:lang w:val="en-AU"/>
        </w:rPr>
        <w:t xml:space="preserve">UK </w:t>
      </w:r>
      <w:r w:rsidRPr="000335FA">
        <w:rPr>
          <w:rFonts w:eastAsiaTheme="minorHAnsi"/>
          <w:lang w:val="en-AU"/>
        </w:rPr>
        <w:t xml:space="preserve">longitudinal </w:t>
      </w:r>
      <w:r>
        <w:rPr>
          <w:rFonts w:eastAsiaTheme="minorHAnsi"/>
          <w:lang w:val="en-AU"/>
        </w:rPr>
        <w:t xml:space="preserve">qualitative study of the advantage and disadvantage of library usage found that regular users regarded the primary function of the library as a source of access to knowledge and information </w:t>
      </w:r>
      <w:r w:rsidR="00187E61">
        <w:rPr>
          <w:rFonts w:eastAsiaTheme="minorHAnsi"/>
          <w:lang w:val="en-AU"/>
        </w:rPr>
        <w:t xml:space="preserve">supported by </w:t>
      </w:r>
      <w:r>
        <w:rPr>
          <w:rFonts w:eastAsiaTheme="minorHAnsi"/>
          <w:lang w:val="en-AU"/>
        </w:rPr>
        <w:t>staff.  Identified was</w:t>
      </w:r>
      <w:r>
        <w:t xml:space="preserve"> a preference for printed material despite study participants being computer literate</w:t>
      </w:r>
      <w:r>
        <w:rPr>
          <w:rFonts w:eastAsiaTheme="minorHAnsi"/>
          <w:lang w:val="en-AU"/>
        </w:rPr>
        <w:t xml:space="preserve"> (</w:t>
      </w:r>
      <w:r w:rsidRPr="00B60722">
        <w:rPr>
          <w:rFonts w:eastAsia="Calibri"/>
          <w:lang w:val="en-AU"/>
        </w:rPr>
        <w:t>Appleton</w:t>
      </w:r>
      <w:r>
        <w:rPr>
          <w:rFonts w:eastAsia="Calibri"/>
          <w:lang w:val="en-AU"/>
        </w:rPr>
        <w:t xml:space="preserve">, Hall, Duff &amp; </w:t>
      </w:r>
      <w:proofErr w:type="spellStart"/>
      <w:r>
        <w:rPr>
          <w:rFonts w:eastAsia="Calibri"/>
          <w:lang w:val="en-AU"/>
        </w:rPr>
        <w:t>Raeside</w:t>
      </w:r>
      <w:proofErr w:type="spellEnd"/>
      <w:r>
        <w:rPr>
          <w:rFonts w:eastAsia="Calibri"/>
          <w:lang w:val="en-AU"/>
        </w:rPr>
        <w:t xml:space="preserve">, </w:t>
      </w:r>
      <w:r w:rsidRPr="00B60722">
        <w:rPr>
          <w:rFonts w:eastAsia="Calibri"/>
          <w:lang w:val="en-AU"/>
        </w:rPr>
        <w:t>2018</w:t>
      </w:r>
      <w:r>
        <w:rPr>
          <w:rFonts w:eastAsia="Calibri"/>
          <w:lang w:val="en-AU"/>
        </w:rPr>
        <w:t>).</w:t>
      </w:r>
    </w:p>
    <w:p w14:paraId="0322A827" w14:textId="77777777" w:rsidR="004516A3" w:rsidRDefault="004516A3" w:rsidP="00104C14">
      <w:pPr>
        <w:tabs>
          <w:tab w:val="left" w:pos="4794"/>
        </w:tabs>
        <w:kinsoku w:val="0"/>
        <w:overflowPunct w:val="0"/>
        <w:autoSpaceDE w:val="0"/>
        <w:autoSpaceDN w:val="0"/>
        <w:adjustRightInd w:val="0"/>
        <w:spacing w:before="32" w:line="276" w:lineRule="auto"/>
        <w:jc w:val="both"/>
        <w:rPr>
          <w:rFonts w:eastAsia="Calibri"/>
          <w:lang w:val="en-AU"/>
        </w:rPr>
      </w:pPr>
    </w:p>
    <w:p w14:paraId="63998568" w14:textId="654BE8A8" w:rsidR="004516A3" w:rsidRDefault="004516A3" w:rsidP="00104C14">
      <w:pPr>
        <w:spacing w:line="276" w:lineRule="auto"/>
        <w:jc w:val="both"/>
        <w:rPr>
          <w:highlight w:val="yellow"/>
        </w:rPr>
      </w:pPr>
      <w:r w:rsidRPr="00C313E7">
        <w:rPr>
          <w:rFonts w:eastAsia="Calibri"/>
          <w:b/>
          <w:i/>
          <w:lang w:val="en-AU"/>
        </w:rPr>
        <w:lastRenderedPageBreak/>
        <w:t>Beginning with early literacy:</w:t>
      </w:r>
      <w:r>
        <w:rPr>
          <w:rFonts w:eastAsia="Calibri"/>
          <w:lang w:val="en-AU"/>
        </w:rPr>
        <w:t xml:space="preserve"> Two studies from Western Australia, one involving longitudinal qualitative research and the other a mixed methods approach</w:t>
      </w:r>
      <w:r w:rsidR="00187E61">
        <w:rPr>
          <w:rFonts w:eastAsia="Calibri"/>
          <w:lang w:val="en-AU"/>
        </w:rPr>
        <w:t>,</w:t>
      </w:r>
      <w:r>
        <w:rPr>
          <w:rFonts w:eastAsia="Calibri"/>
          <w:lang w:val="en-AU"/>
        </w:rPr>
        <w:t xml:space="preserve"> investigated early literacy programs of the Better Beginnings suite (</w:t>
      </w:r>
      <w:r>
        <w:rPr>
          <w:rFonts w:eastAsia="Calibri"/>
          <w:bCs/>
          <w:lang w:val="en-AU"/>
        </w:rPr>
        <w:t>Barratt-Pugh, Anderson &amp; North 2013;</w:t>
      </w:r>
      <w:r w:rsidRPr="00C313E7">
        <w:rPr>
          <w:rFonts w:eastAsia="Calibri"/>
          <w:bCs/>
          <w:lang w:val="en-AU"/>
        </w:rPr>
        <w:t xml:space="preserve"> </w:t>
      </w:r>
      <w:r w:rsidRPr="006562A7">
        <w:rPr>
          <w:rFonts w:eastAsia="Calibri"/>
          <w:bCs/>
          <w:lang w:val="en-AU"/>
        </w:rPr>
        <w:t>Barratt-Pugh</w:t>
      </w:r>
      <w:r>
        <w:rPr>
          <w:rFonts w:eastAsia="Calibri"/>
          <w:bCs/>
          <w:lang w:val="en-AU"/>
        </w:rPr>
        <w:t xml:space="preserve"> &amp;</w:t>
      </w:r>
      <w:r w:rsidRPr="006562A7">
        <w:rPr>
          <w:rFonts w:eastAsia="Calibri"/>
          <w:bCs/>
          <w:lang w:val="en-AU"/>
        </w:rPr>
        <w:t xml:space="preserve"> Maloney</w:t>
      </w:r>
      <w:r>
        <w:rPr>
          <w:rFonts w:eastAsia="Calibri"/>
          <w:bCs/>
          <w:lang w:val="en-AU"/>
        </w:rPr>
        <w:t xml:space="preserve"> 2015). The first was an in-depth qualitative study, and investigated librarians’ perceptions of the </w:t>
      </w:r>
      <w:r w:rsidRPr="00C313E7">
        <w:rPr>
          <w:rFonts w:eastAsia="Calibri"/>
          <w:bCs/>
          <w:i/>
          <w:lang w:val="en-AU"/>
        </w:rPr>
        <w:t>Better Beginnings</w:t>
      </w:r>
      <w:r>
        <w:rPr>
          <w:rFonts w:eastAsia="Calibri"/>
          <w:bCs/>
          <w:lang w:val="en-AU"/>
        </w:rPr>
        <w:t xml:space="preserve"> program across a four year period (Barratt-Pugh, Anderson &amp; North 2013). This study found that librarians involved in the program developed a greater understanding of the way that cooperation between parents and library staff impacted positively on infant learning and literacy. The second study, implementation of the early literacy program </w:t>
      </w:r>
      <w:r w:rsidRPr="00493605">
        <w:rPr>
          <w:rFonts w:eastAsia="Calibri"/>
          <w:bCs/>
          <w:i/>
          <w:lang w:val="en-AU"/>
        </w:rPr>
        <w:t>Growing Better Beginnings</w:t>
      </w:r>
      <w:r>
        <w:rPr>
          <w:rFonts w:eastAsia="Calibri"/>
          <w:bCs/>
          <w:lang w:val="en-AU"/>
        </w:rPr>
        <w:t xml:space="preserve"> designed for 4-5 year olds, included a parent survey and interviews with kindergarten and pre-primary teachers as well as SLWA librarian coordinators. The program was positively received by parents and its central coordination valued by both teachers and librarians at the local level.</w:t>
      </w:r>
    </w:p>
    <w:p w14:paraId="139FCB31" w14:textId="77777777" w:rsidR="004516A3" w:rsidRDefault="004516A3" w:rsidP="00104C14">
      <w:pPr>
        <w:spacing w:line="276" w:lineRule="auto"/>
        <w:jc w:val="both"/>
        <w:rPr>
          <w:highlight w:val="yellow"/>
        </w:rPr>
      </w:pPr>
    </w:p>
    <w:p w14:paraId="7442CA33" w14:textId="3BFE38CB" w:rsidR="004516A3" w:rsidRDefault="004516A3" w:rsidP="00104C14">
      <w:pPr>
        <w:spacing w:line="276" w:lineRule="auto"/>
        <w:jc w:val="both"/>
      </w:pPr>
      <w:r w:rsidRPr="00825D69">
        <w:rPr>
          <w:b/>
          <w:i/>
        </w:rPr>
        <w:t>Supporting digital literacy:</w:t>
      </w:r>
      <w:r>
        <w:t xml:space="preserve"> According to </w:t>
      </w:r>
      <w:r>
        <w:rPr>
          <w:rFonts w:eastAsiaTheme="minorHAnsi"/>
          <w:lang w:val="en-AU"/>
        </w:rPr>
        <w:t xml:space="preserve">Jaeger, </w:t>
      </w:r>
      <w:proofErr w:type="spellStart"/>
      <w:r>
        <w:rPr>
          <w:rFonts w:eastAsiaTheme="minorHAnsi"/>
          <w:lang w:val="en-AU"/>
        </w:rPr>
        <w:t>Bertot</w:t>
      </w:r>
      <w:proofErr w:type="spellEnd"/>
      <w:r>
        <w:rPr>
          <w:rFonts w:eastAsiaTheme="minorHAnsi"/>
          <w:lang w:val="en-AU"/>
        </w:rPr>
        <w:t xml:space="preserve">, Thompson, Katz </w:t>
      </w:r>
      <w:r w:rsidR="00187E61">
        <w:rPr>
          <w:rFonts w:eastAsiaTheme="minorHAnsi"/>
          <w:lang w:val="en-AU"/>
        </w:rPr>
        <w:t>and</w:t>
      </w:r>
      <w:r>
        <w:rPr>
          <w:rFonts w:eastAsiaTheme="minorHAnsi"/>
          <w:lang w:val="en-AU"/>
        </w:rPr>
        <w:t xml:space="preserve"> </w:t>
      </w:r>
      <w:proofErr w:type="spellStart"/>
      <w:r>
        <w:rPr>
          <w:rFonts w:eastAsiaTheme="minorHAnsi"/>
          <w:lang w:val="en-AU"/>
        </w:rPr>
        <w:t>Decoster’s</w:t>
      </w:r>
      <w:proofErr w:type="spellEnd"/>
      <w:r>
        <w:rPr>
          <w:rFonts w:eastAsiaTheme="minorHAnsi"/>
          <w:lang w:val="en-AU"/>
        </w:rPr>
        <w:t xml:space="preserve"> (</w:t>
      </w:r>
      <w:r w:rsidRPr="005F00CB">
        <w:rPr>
          <w:rFonts w:eastAsiaTheme="minorHAnsi"/>
          <w:lang w:val="en-AU"/>
        </w:rPr>
        <w:t>2012</w:t>
      </w:r>
      <w:r>
        <w:rPr>
          <w:rFonts w:eastAsiaTheme="minorHAnsi"/>
          <w:lang w:val="en-AU"/>
        </w:rPr>
        <w:t xml:space="preserve">) literature critique, libraries and library staff are well placed to lead the way in digital literacy. </w:t>
      </w:r>
      <w:r w:rsidRPr="009D70DA">
        <w:t xml:space="preserve">The article discusses digital inclusion as a policy to close the </w:t>
      </w:r>
      <w:r>
        <w:t xml:space="preserve">digital </w:t>
      </w:r>
      <w:r w:rsidRPr="009D70DA">
        <w:t xml:space="preserve">divide and promote digital literacy. </w:t>
      </w:r>
      <w:r>
        <w:rPr>
          <w:rFonts w:eastAsiaTheme="minorHAnsi"/>
          <w:lang w:val="en-AU"/>
        </w:rPr>
        <w:t>Indeed they argue that access to technologies is an important part of social and digital inclusion in the 21</w:t>
      </w:r>
      <w:r w:rsidRPr="00825D69">
        <w:rPr>
          <w:rFonts w:eastAsiaTheme="minorHAnsi"/>
          <w:vertAlign w:val="superscript"/>
          <w:lang w:val="en-AU"/>
        </w:rPr>
        <w:t>st</w:t>
      </w:r>
      <w:r>
        <w:rPr>
          <w:rFonts w:eastAsiaTheme="minorHAnsi"/>
          <w:lang w:val="en-AU"/>
        </w:rPr>
        <w:t xml:space="preserve"> century. The public library has value in meeting gaps between the digital haves and have-nots. They note that as digital participation becomes more central to education, employment and social services, librarians will need to take the lead in advocating for digital inclusion. </w:t>
      </w:r>
    </w:p>
    <w:p w14:paraId="073593A9" w14:textId="77777777" w:rsidR="004516A3" w:rsidRDefault="004516A3" w:rsidP="00104C14">
      <w:pPr>
        <w:spacing w:line="276" w:lineRule="auto"/>
        <w:jc w:val="both"/>
      </w:pPr>
    </w:p>
    <w:p w14:paraId="60E08A76" w14:textId="77777777" w:rsidR="001B050C" w:rsidRPr="001B050C" w:rsidRDefault="001B050C" w:rsidP="00104C14">
      <w:pPr>
        <w:pStyle w:val="ListParagraph"/>
        <w:numPr>
          <w:ilvl w:val="0"/>
          <w:numId w:val="31"/>
        </w:numPr>
        <w:spacing w:line="276" w:lineRule="auto"/>
        <w:jc w:val="both"/>
        <w:rPr>
          <w:b/>
          <w:sz w:val="28"/>
          <w:szCs w:val="28"/>
        </w:rPr>
      </w:pPr>
      <w:r w:rsidRPr="001B050C">
        <w:rPr>
          <w:b/>
          <w:sz w:val="28"/>
          <w:szCs w:val="28"/>
        </w:rPr>
        <w:t>The social role of the library</w:t>
      </w:r>
    </w:p>
    <w:p w14:paraId="212CB280" w14:textId="51AF3F85" w:rsidR="001B050C" w:rsidRPr="004E1B71" w:rsidRDefault="001B050C" w:rsidP="00104C14">
      <w:pPr>
        <w:spacing w:line="276" w:lineRule="auto"/>
        <w:jc w:val="both"/>
        <w:rPr>
          <w:b/>
          <w:sz w:val="28"/>
          <w:szCs w:val="28"/>
        </w:rPr>
      </w:pPr>
    </w:p>
    <w:p w14:paraId="4AC8A5FA" w14:textId="0707CC75" w:rsidR="001B050C" w:rsidRPr="00320A1F" w:rsidRDefault="001B050C" w:rsidP="00104C14">
      <w:pPr>
        <w:spacing w:line="276" w:lineRule="auto"/>
        <w:jc w:val="both"/>
      </w:pPr>
      <w:r w:rsidRPr="00320A1F">
        <w:t>Qualitative and quantitative studies investigat</w:t>
      </w:r>
      <w:r>
        <w:t>ed</w:t>
      </w:r>
      <w:r w:rsidRPr="00320A1F">
        <w:t xml:space="preserve"> </w:t>
      </w:r>
      <w:r>
        <w:t>public libraries’</w:t>
      </w:r>
      <w:r w:rsidRPr="00320A1F">
        <w:t xml:space="preserve"> social role in generating and promoting social connection, social inclusion and social capital. </w:t>
      </w:r>
      <w:r w:rsidR="00FC0573">
        <w:t xml:space="preserve">According to </w:t>
      </w:r>
      <w:proofErr w:type="spellStart"/>
      <w:r w:rsidR="00FC0573">
        <w:t>Woolcock</w:t>
      </w:r>
      <w:proofErr w:type="spellEnd"/>
      <w:r w:rsidR="00FC0573">
        <w:t xml:space="preserve"> (2010, p.469) </w:t>
      </w:r>
      <w:r w:rsidR="000D1419">
        <w:t>‘</w:t>
      </w:r>
      <w:r w:rsidR="00797073">
        <w:t>social capital refers to t</w:t>
      </w:r>
      <w:r w:rsidR="00FC0573" w:rsidRPr="004C00B2">
        <w:t>he norms</w:t>
      </w:r>
      <w:r w:rsidR="00797073">
        <w:t xml:space="preserve"> and networks embedded in social structures that enable people to act collectively</w:t>
      </w:r>
      <w:r w:rsidR="000D1419">
        <w:t>’</w:t>
      </w:r>
      <w:r w:rsidR="00797073">
        <w:t xml:space="preserve">. </w:t>
      </w:r>
      <w:r w:rsidR="00F6210E">
        <w:t xml:space="preserve"> </w:t>
      </w:r>
      <w:r w:rsidR="00CA701A">
        <w:t xml:space="preserve">Putnam (1993) </w:t>
      </w:r>
      <w:r w:rsidR="009523FD">
        <w:t xml:space="preserve">claims that social capital provides a connecting mechanism between collective action, economic development, democracy and governance. </w:t>
      </w:r>
      <w:r w:rsidR="00F90E72">
        <w:t>M</w:t>
      </w:r>
      <w:r w:rsidRPr="00320A1F">
        <w:t xml:space="preserve">ost studies </w:t>
      </w:r>
      <w:r w:rsidR="0097121E">
        <w:t xml:space="preserve">in </w:t>
      </w:r>
      <w:r w:rsidR="00532E27">
        <w:t>this systematic review</w:t>
      </w:r>
      <w:r w:rsidR="00A64A07">
        <w:t xml:space="preserve"> </w:t>
      </w:r>
      <w:r w:rsidR="00B81C70">
        <w:t>propos</w:t>
      </w:r>
      <w:r>
        <w:t>e that</w:t>
      </w:r>
      <w:r w:rsidRPr="00320A1F">
        <w:t xml:space="preserve"> </w:t>
      </w:r>
      <w:r w:rsidR="00FE57FD">
        <w:t xml:space="preserve">growing </w:t>
      </w:r>
      <w:r w:rsidRPr="00320A1F">
        <w:t xml:space="preserve">social capital </w:t>
      </w:r>
      <w:r>
        <w:t>i</w:t>
      </w:r>
      <w:r w:rsidRPr="00320A1F">
        <w:t xml:space="preserve">s an important </w:t>
      </w:r>
      <w:r w:rsidR="00C5392D">
        <w:t xml:space="preserve">function of </w:t>
      </w:r>
      <w:r w:rsidR="00A64A07">
        <w:t xml:space="preserve">public </w:t>
      </w:r>
      <w:r w:rsidR="00F90E72">
        <w:t>librarie</w:t>
      </w:r>
      <w:r w:rsidR="008C3329">
        <w:t xml:space="preserve">s although they acknowledge that this is difficult to measure. </w:t>
      </w:r>
      <w:r w:rsidR="00C5392D">
        <w:t xml:space="preserve"> </w:t>
      </w:r>
    </w:p>
    <w:p w14:paraId="0E943A9F" w14:textId="77777777" w:rsidR="001B050C" w:rsidRPr="00320A1F" w:rsidRDefault="001B050C" w:rsidP="00104C14">
      <w:pPr>
        <w:spacing w:line="276" w:lineRule="auto"/>
        <w:jc w:val="both"/>
        <w:rPr>
          <w:b/>
        </w:rPr>
      </w:pPr>
    </w:p>
    <w:p w14:paraId="6615E5E4" w14:textId="513B52CF" w:rsidR="00D33C69" w:rsidRDefault="001B050C" w:rsidP="00104C14">
      <w:pPr>
        <w:spacing w:line="276" w:lineRule="auto"/>
        <w:jc w:val="both"/>
      </w:pPr>
      <w:r>
        <w:rPr>
          <w:b/>
          <w:i/>
        </w:rPr>
        <w:t>Generating</w:t>
      </w:r>
      <w:r w:rsidRPr="00BA7F00">
        <w:rPr>
          <w:b/>
          <w:i/>
        </w:rPr>
        <w:t xml:space="preserve"> social capital</w:t>
      </w:r>
      <w:r>
        <w:rPr>
          <w:b/>
        </w:rPr>
        <w:t xml:space="preserve">: </w:t>
      </w:r>
      <w:r>
        <w:t xml:space="preserve">A quantitative study by </w:t>
      </w:r>
      <w:r w:rsidRPr="00320A1F">
        <w:t xml:space="preserve">Johnson (2010) </w:t>
      </w:r>
      <w:r w:rsidR="008C3329">
        <w:t xml:space="preserve">from the US </w:t>
      </w:r>
      <w:r w:rsidRPr="00320A1F">
        <w:t xml:space="preserve">was able to determine that there was a relationship between social capital formation and community involvement, </w:t>
      </w:r>
      <w:r>
        <w:t>however she concluded</w:t>
      </w:r>
      <w:r w:rsidRPr="00320A1F">
        <w:t xml:space="preserve"> that a more nuanced approach to understanding the circumstances that create social capital was </w:t>
      </w:r>
      <w:r>
        <w:t>necessary</w:t>
      </w:r>
      <w:r w:rsidRPr="00320A1F">
        <w:t xml:space="preserve">. In a subsequent study, Johnson (2012) tested whether social capital was generated through relationships and interactions between library staff and users. </w:t>
      </w:r>
      <w:r w:rsidR="00D33C69">
        <w:t xml:space="preserve">While </w:t>
      </w:r>
      <w:r w:rsidRPr="00320A1F">
        <w:t xml:space="preserve">Johnson </w:t>
      </w:r>
      <w:r w:rsidR="00D33C69">
        <w:t xml:space="preserve">concluded </w:t>
      </w:r>
      <w:r w:rsidRPr="00320A1F">
        <w:t xml:space="preserve">that library staff fundamentally </w:t>
      </w:r>
      <w:r w:rsidRPr="00320A1F">
        <w:lastRenderedPageBreak/>
        <w:t xml:space="preserve">consider that they are providing access to information resources and leisure materials, while overlooking the value of developing social relationships with users. </w:t>
      </w:r>
      <w:r w:rsidR="006D78F7">
        <w:t>Themes</w:t>
      </w:r>
      <w:r w:rsidR="00D33C69">
        <w:t xml:space="preserve"> that emerged from this study included: </w:t>
      </w:r>
      <w:r w:rsidR="00AF07B8">
        <w:t>‘</w:t>
      </w:r>
      <w:r w:rsidR="00D33C69">
        <w:t>establishing relationships and building trust between library workers and patrons; library workers linking patrons to resources both inside and outside the library; the special help provided by library workers to patrons; using the library as an informal meeting place; regarding the library as a safe place to go; visiting the library to connect with others and reduce social isolation; and ﬁnally, the importance of the physical place of the library</w:t>
      </w:r>
      <w:r w:rsidR="00AF07B8">
        <w:t>’</w:t>
      </w:r>
      <w:r w:rsidR="00D33C69">
        <w:t xml:space="preserve"> (2012, p. 56). </w:t>
      </w:r>
      <w:r w:rsidR="00D33C69" w:rsidRPr="00320A1F">
        <w:t xml:space="preserve">The study </w:t>
      </w:r>
      <w:r w:rsidR="00D33C69">
        <w:t>establishe</w:t>
      </w:r>
      <w:r w:rsidR="00AF07B8">
        <w:t>d</w:t>
      </w:r>
      <w:r w:rsidR="00D33C69" w:rsidRPr="00320A1F">
        <w:t xml:space="preserve"> that trust</w:t>
      </w:r>
      <w:r w:rsidR="00D33C69">
        <w:t>, a key element of social capital</w:t>
      </w:r>
      <w:r w:rsidR="000D1419">
        <w:t>,</w:t>
      </w:r>
      <w:r w:rsidR="00D33C69" w:rsidRPr="00320A1F">
        <w:t xml:space="preserve"> </w:t>
      </w:r>
      <w:r w:rsidR="000C3939">
        <w:t>i</w:t>
      </w:r>
      <w:r w:rsidR="00D33C69" w:rsidRPr="00320A1F">
        <w:t>s built</w:t>
      </w:r>
      <w:r w:rsidR="00D33C69">
        <w:t xml:space="preserve"> within libraries </w:t>
      </w:r>
      <w:r w:rsidR="00D33C69" w:rsidRPr="00320A1F">
        <w:t xml:space="preserve">by connecting people to both community and information resources, providing social support, reducing social isolation, helping users to learn online skills and </w:t>
      </w:r>
      <w:r w:rsidR="00D33C69">
        <w:t xml:space="preserve">by </w:t>
      </w:r>
      <w:r w:rsidR="00D33C69" w:rsidRPr="00320A1F">
        <w:t>creating a positive community space.</w:t>
      </w:r>
      <w:r w:rsidR="00D33C69">
        <w:t xml:space="preserve"> </w:t>
      </w:r>
    </w:p>
    <w:p w14:paraId="2059D3FD" w14:textId="77777777" w:rsidR="001B050C" w:rsidRDefault="001B050C" w:rsidP="00104C14">
      <w:pPr>
        <w:spacing w:line="276" w:lineRule="auto"/>
        <w:jc w:val="both"/>
      </w:pPr>
    </w:p>
    <w:p w14:paraId="31264942" w14:textId="29F2B3D5" w:rsidR="001B050C" w:rsidRDefault="001B050C" w:rsidP="00104C14">
      <w:pPr>
        <w:spacing w:line="276" w:lineRule="auto"/>
        <w:jc w:val="both"/>
      </w:pPr>
      <w:r w:rsidRPr="00B60722">
        <w:rPr>
          <w:rFonts w:eastAsia="Calibri"/>
          <w:lang w:val="en-AU"/>
        </w:rPr>
        <w:t>Appleton</w:t>
      </w:r>
      <w:r>
        <w:rPr>
          <w:rFonts w:eastAsia="Calibri"/>
          <w:lang w:val="en-AU"/>
        </w:rPr>
        <w:t xml:space="preserve">, Hall, Duff &amp; </w:t>
      </w:r>
      <w:proofErr w:type="spellStart"/>
      <w:r>
        <w:rPr>
          <w:rFonts w:eastAsia="Calibri"/>
          <w:lang w:val="en-AU"/>
        </w:rPr>
        <w:t>Raeside</w:t>
      </w:r>
      <w:proofErr w:type="spellEnd"/>
      <w:r>
        <w:rPr>
          <w:rFonts w:eastAsia="Calibri"/>
          <w:lang w:val="en-AU"/>
        </w:rPr>
        <w:t xml:space="preserve"> (2018)</w:t>
      </w:r>
      <w:r w:rsidRPr="00320A1F">
        <w:t xml:space="preserve"> in their</w:t>
      </w:r>
      <w:r w:rsidR="008C3329">
        <w:t xml:space="preserve"> UK-based</w:t>
      </w:r>
      <w:r w:rsidRPr="00320A1F">
        <w:t xml:space="preserve"> longitudinal </w:t>
      </w:r>
      <w:r>
        <w:t xml:space="preserve">qualitative </w:t>
      </w:r>
      <w:r w:rsidRPr="00320A1F">
        <w:t>study found that where public libraries facilitate social interaction through group</w:t>
      </w:r>
      <w:r w:rsidR="00C5392D">
        <w:t xml:space="preserve"> or meeting</w:t>
      </w:r>
      <w:r w:rsidRPr="00320A1F">
        <w:t xml:space="preserve"> processes this generate</w:t>
      </w:r>
      <w:r w:rsidR="00993F4D">
        <w:t>s</w:t>
      </w:r>
      <w:r w:rsidRPr="00320A1F">
        <w:t xml:space="preserve"> social capital across diverse groups.</w:t>
      </w:r>
      <w:r w:rsidR="008C3329">
        <w:t xml:space="preserve"> This two-</w:t>
      </w:r>
      <w:r w:rsidR="000C3939">
        <w:t>year study confirm</w:t>
      </w:r>
      <w:r w:rsidR="000D1419">
        <w:t>ed</w:t>
      </w:r>
      <w:r w:rsidR="00AF07B8">
        <w:t xml:space="preserve"> that active users value public libraries for</w:t>
      </w:r>
      <w:r w:rsidR="000C3939">
        <w:t xml:space="preserve"> </w:t>
      </w:r>
      <w:r w:rsidR="00AF07B8">
        <w:t>‘</w:t>
      </w:r>
      <w:r w:rsidR="00AF07B8" w:rsidRPr="00AF07B8">
        <w:t>access to information and knowledge (and a range of other supplementary functions) in physically safe, community-owned spaces staffed by experts</w:t>
      </w:r>
      <w:r w:rsidR="00AF07B8">
        <w:t>’ (2018, p. 282).</w:t>
      </w:r>
    </w:p>
    <w:p w14:paraId="1B4E8E92" w14:textId="077EB937" w:rsidR="00DD7E65" w:rsidRDefault="00DD7E65" w:rsidP="00104C14">
      <w:pPr>
        <w:spacing w:line="276" w:lineRule="auto"/>
        <w:jc w:val="both"/>
      </w:pPr>
    </w:p>
    <w:p w14:paraId="4241CE4D" w14:textId="00D1F13C" w:rsidR="00DD7E65" w:rsidRDefault="00DD7E65" w:rsidP="00104C14">
      <w:pPr>
        <w:tabs>
          <w:tab w:val="left" w:pos="4794"/>
        </w:tabs>
        <w:kinsoku w:val="0"/>
        <w:overflowPunct w:val="0"/>
        <w:autoSpaceDE w:val="0"/>
        <w:autoSpaceDN w:val="0"/>
        <w:adjustRightInd w:val="0"/>
        <w:spacing w:before="31" w:line="276" w:lineRule="auto"/>
        <w:jc w:val="both"/>
      </w:pPr>
      <w:r w:rsidRPr="00B81C70">
        <w:rPr>
          <w:rFonts w:eastAsiaTheme="minorHAnsi"/>
          <w:lang w:val="en-AU"/>
        </w:rPr>
        <w:t xml:space="preserve">Ferguson (2012) </w:t>
      </w:r>
      <w:r>
        <w:rPr>
          <w:rFonts w:eastAsiaTheme="minorHAnsi"/>
          <w:lang w:val="en-AU"/>
        </w:rPr>
        <w:t xml:space="preserve">argues </w:t>
      </w:r>
      <w:r w:rsidR="00C5392D">
        <w:rPr>
          <w:rFonts w:eastAsiaTheme="minorHAnsi"/>
          <w:lang w:val="en-AU"/>
        </w:rPr>
        <w:t xml:space="preserve">in his review of the literature </w:t>
      </w:r>
      <w:r>
        <w:rPr>
          <w:rFonts w:eastAsiaTheme="minorHAnsi"/>
          <w:lang w:val="en-AU"/>
        </w:rPr>
        <w:t xml:space="preserve">that </w:t>
      </w:r>
      <w:r w:rsidRPr="00B81C70">
        <w:rPr>
          <w:rFonts w:eastAsiaTheme="minorHAnsi"/>
          <w:lang w:val="en-AU"/>
        </w:rPr>
        <w:t xml:space="preserve">libraries </w:t>
      </w:r>
      <w:r>
        <w:rPr>
          <w:rFonts w:eastAsiaTheme="minorHAnsi"/>
          <w:lang w:val="en-AU"/>
        </w:rPr>
        <w:t>need to gather better evidence to demonstrate their contribution to social capital. As public institutions, libraries are providers of universal services</w:t>
      </w:r>
      <w:r w:rsidR="00C6007B">
        <w:rPr>
          <w:rFonts w:eastAsiaTheme="minorHAnsi"/>
          <w:lang w:val="en-AU"/>
        </w:rPr>
        <w:t>;</w:t>
      </w:r>
      <w:r>
        <w:rPr>
          <w:rFonts w:eastAsiaTheme="minorHAnsi"/>
          <w:lang w:val="en-AU"/>
        </w:rPr>
        <w:t xml:space="preserve"> therefore they need to be proactive in reaching out to community groups that are under-represented in the library. </w:t>
      </w:r>
      <w:r>
        <w:t>While Ferguson acknowledges</w:t>
      </w:r>
      <w:r w:rsidRPr="005D0524">
        <w:t xml:space="preserve"> </w:t>
      </w:r>
      <w:r>
        <w:t xml:space="preserve">that </w:t>
      </w:r>
      <w:r w:rsidR="008C3329">
        <w:t>the public library</w:t>
      </w:r>
      <w:r w:rsidRPr="005D0524">
        <w:t xml:space="preserve"> contribute to </w:t>
      </w:r>
      <w:r>
        <w:t>‘</w:t>
      </w:r>
      <w:r w:rsidRPr="005D0524">
        <w:t>the stock of social capital</w:t>
      </w:r>
      <w:r>
        <w:t>’</w:t>
      </w:r>
      <w:r w:rsidR="00AF07B8">
        <w:t xml:space="preserve"> (2020, p. 31)</w:t>
      </w:r>
      <w:r w:rsidR="00C5392D">
        <w:t>,</w:t>
      </w:r>
      <w:r w:rsidRPr="005D0524">
        <w:t xml:space="preserve"> </w:t>
      </w:r>
      <w:r w:rsidR="00636795">
        <w:t>t</w:t>
      </w:r>
      <w:r w:rsidRPr="005D0524">
        <w:t xml:space="preserve">o </w:t>
      </w:r>
      <w:r w:rsidR="00636795">
        <w:t xml:space="preserve">further generate </w:t>
      </w:r>
      <w:r w:rsidRPr="005D0524">
        <w:t>social capital</w:t>
      </w:r>
      <w:r w:rsidR="00636795">
        <w:t>, libraries</w:t>
      </w:r>
      <w:r w:rsidRPr="005D0524">
        <w:t xml:space="preserve"> need </w:t>
      </w:r>
      <w:r w:rsidR="00C6007B">
        <w:t xml:space="preserve">to </w:t>
      </w:r>
      <w:r>
        <w:t>work with voluntary association</w:t>
      </w:r>
      <w:r w:rsidR="00C5392D">
        <w:t>s</w:t>
      </w:r>
      <w:r>
        <w:t xml:space="preserve">, develop their capacity as </w:t>
      </w:r>
      <w:r w:rsidR="00AF07B8">
        <w:t>neutral</w:t>
      </w:r>
      <w:r>
        <w:t xml:space="preserve">/informal meeting </w:t>
      </w:r>
      <w:r w:rsidR="00636795">
        <w:t>spaces</w:t>
      </w:r>
      <w:r>
        <w:t xml:space="preserve">, be more accessible to </w:t>
      </w:r>
      <w:r w:rsidR="00636795">
        <w:t>marginalized or ‘at risk’ groups</w:t>
      </w:r>
      <w:r>
        <w:t xml:space="preserve"> within the community</w:t>
      </w:r>
      <w:r w:rsidR="00C6007B">
        <w:t>,</w:t>
      </w:r>
      <w:r>
        <w:t xml:space="preserve"> and engage with </w:t>
      </w:r>
      <w:r w:rsidR="00636795">
        <w:t>these g</w:t>
      </w:r>
      <w:r>
        <w:t xml:space="preserve">roups </w:t>
      </w:r>
      <w:r w:rsidR="00636795">
        <w:t xml:space="preserve">to better understand their </w:t>
      </w:r>
      <w:r>
        <w:t xml:space="preserve">existing social capital. </w:t>
      </w:r>
    </w:p>
    <w:p w14:paraId="155E6F3C" w14:textId="77777777" w:rsidR="005B52BE" w:rsidRDefault="005B52BE" w:rsidP="00104C14">
      <w:pPr>
        <w:tabs>
          <w:tab w:val="left" w:pos="4794"/>
        </w:tabs>
        <w:kinsoku w:val="0"/>
        <w:overflowPunct w:val="0"/>
        <w:autoSpaceDE w:val="0"/>
        <w:autoSpaceDN w:val="0"/>
        <w:adjustRightInd w:val="0"/>
        <w:spacing w:before="31" w:line="276" w:lineRule="auto"/>
        <w:jc w:val="both"/>
      </w:pPr>
    </w:p>
    <w:p w14:paraId="221B3880" w14:textId="5AA44416" w:rsidR="001B050C" w:rsidRDefault="001B050C" w:rsidP="00104C14">
      <w:pPr>
        <w:spacing w:line="276" w:lineRule="auto"/>
        <w:jc w:val="both"/>
      </w:pPr>
      <w:r>
        <w:rPr>
          <w:b/>
          <w:i/>
        </w:rPr>
        <w:t>Facilitating s</w:t>
      </w:r>
      <w:r w:rsidRPr="00672B95">
        <w:rPr>
          <w:b/>
          <w:i/>
        </w:rPr>
        <w:t>ocial connection</w:t>
      </w:r>
      <w:r>
        <w:rPr>
          <w:b/>
          <w:i/>
        </w:rPr>
        <w:t>s</w:t>
      </w:r>
      <w:r w:rsidRPr="00672B95">
        <w:rPr>
          <w:b/>
          <w:i/>
        </w:rPr>
        <w:t>:</w:t>
      </w:r>
      <w:r>
        <w:rPr>
          <w:b/>
          <w:i/>
        </w:rPr>
        <w:t xml:space="preserve"> </w:t>
      </w:r>
      <w:r>
        <w:t>I</w:t>
      </w:r>
      <w:r w:rsidRPr="006A2402">
        <w:t xml:space="preserve">n order to </w:t>
      </w:r>
      <w:r>
        <w:t xml:space="preserve">understand how </w:t>
      </w:r>
      <w:r w:rsidRPr="006A2402">
        <w:t xml:space="preserve">libraries </w:t>
      </w:r>
      <w:r>
        <w:t>facilitate social connections</w:t>
      </w:r>
      <w:r w:rsidRPr="006A2402">
        <w:t xml:space="preserve">, a </w:t>
      </w:r>
      <w:r w:rsidR="008C3329">
        <w:t xml:space="preserve">Norwegian </w:t>
      </w:r>
      <w:r w:rsidRPr="006A2402">
        <w:t>quantitative study</w:t>
      </w:r>
      <w:r>
        <w:t xml:space="preserve"> was conducted investigating how library meeting places are </w:t>
      </w:r>
      <w:proofErr w:type="spellStart"/>
      <w:r>
        <w:t>utilised</w:t>
      </w:r>
      <w:proofErr w:type="spellEnd"/>
      <w:r w:rsidR="00671565">
        <w:t>. This</w:t>
      </w:r>
      <w:r>
        <w:t xml:space="preserve"> study </w:t>
      </w:r>
      <w:r w:rsidR="00671565">
        <w:t xml:space="preserve">by </w:t>
      </w:r>
      <w:proofErr w:type="spellStart"/>
      <w:r w:rsidR="00671565">
        <w:t>Aabø</w:t>
      </w:r>
      <w:proofErr w:type="spellEnd"/>
      <w:r w:rsidR="00671565">
        <w:t xml:space="preserve">, </w:t>
      </w:r>
      <w:proofErr w:type="spellStart"/>
      <w:r w:rsidR="00671565">
        <w:t>Audunson</w:t>
      </w:r>
      <w:proofErr w:type="spellEnd"/>
      <w:r w:rsidR="00671565">
        <w:t xml:space="preserve"> and</w:t>
      </w:r>
      <w:r w:rsidR="00671565" w:rsidRPr="005F00CB">
        <w:t xml:space="preserve"> </w:t>
      </w:r>
      <w:proofErr w:type="spellStart"/>
      <w:r w:rsidR="00671565" w:rsidRPr="005F00CB">
        <w:t>Vårheim</w:t>
      </w:r>
      <w:proofErr w:type="spellEnd"/>
      <w:r w:rsidR="00671565" w:rsidRPr="005F00CB">
        <w:t xml:space="preserve"> </w:t>
      </w:r>
      <w:r w:rsidR="00671565">
        <w:t>(</w:t>
      </w:r>
      <w:r w:rsidR="00671565" w:rsidRPr="005F00CB">
        <w:t>2010</w:t>
      </w:r>
      <w:r w:rsidR="00671565">
        <w:t xml:space="preserve">) </w:t>
      </w:r>
      <w:r>
        <w:t xml:space="preserve">found that library users with lower education tended to use the library as a low intensity meeting place involved in casual interactions, often with strangers. </w:t>
      </w:r>
      <w:r w:rsidR="00993F4D">
        <w:t xml:space="preserve">Also indicated was greater participation by lower </w:t>
      </w:r>
      <w:r w:rsidR="00671565">
        <w:t>income</w:t>
      </w:r>
      <w:r w:rsidR="00993F4D">
        <w:t xml:space="preserve"> library users in informal group gatherings. </w:t>
      </w:r>
      <w:r>
        <w:t xml:space="preserve">Study participants with higher education were more likely to attend public sphere meetings in libraries (e.g. voluntary association events) indicating that they </w:t>
      </w:r>
      <w:r w:rsidR="00EE3D6E">
        <w:t>may</w:t>
      </w:r>
      <w:r w:rsidR="00CD708B">
        <w:t xml:space="preserve"> already</w:t>
      </w:r>
      <w:r>
        <w:t xml:space="preserve"> </w:t>
      </w:r>
      <w:r w:rsidR="00EE3D6E">
        <w:t xml:space="preserve">be </w:t>
      </w:r>
      <w:r>
        <w:t>social</w:t>
      </w:r>
      <w:r w:rsidR="00CD708B">
        <w:t>ly connected</w:t>
      </w:r>
      <w:r w:rsidR="00671565">
        <w:t xml:space="preserve">. When looking at the </w:t>
      </w:r>
      <w:r w:rsidR="008C3329">
        <w:t>connection</w:t>
      </w:r>
      <w:r w:rsidR="00671565">
        <w:t xml:space="preserve"> between low income and low education, this study concluded that ‘the library as a meeting place plays a substantial role in equalizing […] social and economic circumstances </w:t>
      </w:r>
      <w:r>
        <w:t>(</w:t>
      </w:r>
      <w:r w:rsidR="00671565">
        <w:t>2010, p. 2</w:t>
      </w:r>
      <w:r w:rsidR="000D1419">
        <w:t>5</w:t>
      </w:r>
      <w:r>
        <w:t>)</w:t>
      </w:r>
      <w:r w:rsidR="00671565">
        <w:t>’</w:t>
      </w:r>
      <w:r>
        <w:t>.</w:t>
      </w:r>
      <w:r w:rsidR="00EE3D6E">
        <w:t xml:space="preserve"> </w:t>
      </w:r>
    </w:p>
    <w:p w14:paraId="095346B8" w14:textId="77777777" w:rsidR="001B050C" w:rsidRPr="00320A1F" w:rsidRDefault="001B050C" w:rsidP="00104C14">
      <w:pPr>
        <w:spacing w:line="276" w:lineRule="auto"/>
        <w:jc w:val="both"/>
      </w:pPr>
    </w:p>
    <w:p w14:paraId="7ADDB205" w14:textId="246D0FF9" w:rsidR="00697011" w:rsidRDefault="00697011" w:rsidP="00104C14">
      <w:pPr>
        <w:spacing w:line="276" w:lineRule="auto"/>
        <w:jc w:val="both"/>
        <w:rPr>
          <w:highlight w:val="yellow"/>
        </w:rPr>
      </w:pPr>
      <w:r>
        <w:rPr>
          <w:b/>
          <w:i/>
        </w:rPr>
        <w:t>Connecting</w:t>
      </w:r>
      <w:r w:rsidRPr="00356E33">
        <w:rPr>
          <w:b/>
          <w:i/>
        </w:rPr>
        <w:t xml:space="preserve"> physically and digitally</w:t>
      </w:r>
      <w:r>
        <w:rPr>
          <w:b/>
          <w:i/>
        </w:rPr>
        <w:t xml:space="preserve">: </w:t>
      </w:r>
      <w:r>
        <w:t xml:space="preserve">A qualitative study </w:t>
      </w:r>
      <w:r w:rsidR="008C3329">
        <w:t xml:space="preserve">from NSW was </w:t>
      </w:r>
      <w:r>
        <w:t xml:space="preserve">informed by 20 interviews </w:t>
      </w:r>
      <w:r w:rsidR="008C3329">
        <w:t xml:space="preserve">that </w:t>
      </w:r>
      <w:r>
        <w:t xml:space="preserve">found </w:t>
      </w:r>
      <w:r w:rsidRPr="005F00CB">
        <w:t xml:space="preserve">links </w:t>
      </w:r>
      <w:r>
        <w:t xml:space="preserve">or connections </w:t>
      </w:r>
      <w:r w:rsidRPr="005F00CB">
        <w:t>were predominantly made within the library context</w:t>
      </w:r>
      <w:r w:rsidR="000D1419">
        <w:t xml:space="preserve"> (</w:t>
      </w:r>
      <w:r w:rsidR="000D1419" w:rsidRPr="005F00CB">
        <w:rPr>
          <w:rFonts w:eastAsiaTheme="minorHAnsi"/>
          <w:lang w:val="en-AU"/>
        </w:rPr>
        <w:t xml:space="preserve">Houghton, </w:t>
      </w:r>
      <w:proofErr w:type="spellStart"/>
      <w:r w:rsidR="000D1419" w:rsidRPr="005F00CB">
        <w:rPr>
          <w:rFonts w:eastAsiaTheme="minorHAnsi"/>
          <w:lang w:val="en-AU"/>
        </w:rPr>
        <w:t>Foth</w:t>
      </w:r>
      <w:proofErr w:type="spellEnd"/>
      <w:r w:rsidR="000D1419" w:rsidRPr="005F00CB">
        <w:rPr>
          <w:rFonts w:eastAsiaTheme="minorHAnsi"/>
          <w:lang w:val="en-AU"/>
        </w:rPr>
        <w:t xml:space="preserve"> &amp; Miller 2013</w:t>
      </w:r>
      <w:r w:rsidR="000D1419">
        <w:rPr>
          <w:rFonts w:eastAsiaTheme="minorHAnsi"/>
          <w:lang w:val="en-AU"/>
        </w:rPr>
        <w:t>)</w:t>
      </w:r>
      <w:r w:rsidRPr="005F00CB">
        <w:t xml:space="preserve">. The </w:t>
      </w:r>
      <w:r w:rsidR="000D1419">
        <w:t xml:space="preserve">study found that the </w:t>
      </w:r>
      <w:r w:rsidRPr="005F00CB">
        <w:t xml:space="preserve">library </w:t>
      </w:r>
      <w:r>
        <w:t>served as a</w:t>
      </w:r>
      <w:r w:rsidRPr="005F00CB">
        <w:t xml:space="preserve"> physical meeting place, a community hub and for some their main </w:t>
      </w:r>
      <w:r>
        <w:t>access</w:t>
      </w:r>
      <w:r w:rsidRPr="005F00CB">
        <w:t xml:space="preserve"> to the networked world, albeit peripherally. Evident was the need to create links to the online world for non-technology users.</w:t>
      </w:r>
      <w:r>
        <w:t xml:space="preserve"> </w:t>
      </w:r>
      <w:r w:rsidR="00D83F5E">
        <w:t>In addition, t</w:t>
      </w:r>
      <w:r>
        <w:t>he study found that the use of social media was low or absent within this group, largely due to their preference for using the library as an informal ‘third place’, separate from home or work</w:t>
      </w:r>
      <w:r>
        <w:rPr>
          <w:rFonts w:eastAsiaTheme="minorHAnsi"/>
          <w:lang w:val="en-AU"/>
        </w:rPr>
        <w:t>.</w:t>
      </w:r>
      <w:r w:rsidR="000D1419">
        <w:rPr>
          <w:rFonts w:eastAsiaTheme="minorHAnsi"/>
          <w:lang w:val="en-AU"/>
        </w:rPr>
        <w:t xml:space="preserve"> Houghton et al conclude that </w:t>
      </w:r>
      <w:r w:rsidR="00C2744A">
        <w:rPr>
          <w:rFonts w:eastAsiaTheme="minorHAnsi"/>
          <w:lang w:val="en-AU"/>
        </w:rPr>
        <w:t>libraries hold a strong value as repositories for local communities and ‘by providing local places and local information have the potential to be catalysts for local knowledge and technological growth within a digital society’</w:t>
      </w:r>
      <w:r w:rsidR="008C3329">
        <w:rPr>
          <w:rFonts w:eastAsiaTheme="minorHAnsi"/>
          <w:lang w:val="en-AU"/>
        </w:rPr>
        <w:t xml:space="preserve"> (2013, p. 38)</w:t>
      </w:r>
      <w:r w:rsidR="00C2744A">
        <w:rPr>
          <w:rFonts w:eastAsiaTheme="minorHAnsi"/>
          <w:lang w:val="en-AU"/>
        </w:rPr>
        <w:t>.</w:t>
      </w:r>
    </w:p>
    <w:p w14:paraId="13D6674A" w14:textId="77777777" w:rsidR="001B050C" w:rsidRDefault="001B050C" w:rsidP="00104C14">
      <w:pPr>
        <w:tabs>
          <w:tab w:val="left" w:pos="4794"/>
        </w:tabs>
        <w:kinsoku w:val="0"/>
        <w:overflowPunct w:val="0"/>
        <w:autoSpaceDE w:val="0"/>
        <w:autoSpaceDN w:val="0"/>
        <w:adjustRightInd w:val="0"/>
        <w:spacing w:before="31" w:line="276" w:lineRule="auto"/>
        <w:jc w:val="both"/>
        <w:rPr>
          <w:rFonts w:eastAsiaTheme="minorHAnsi"/>
          <w:b/>
          <w:lang w:val="en-AU"/>
        </w:rPr>
      </w:pPr>
    </w:p>
    <w:p w14:paraId="23453FB3" w14:textId="6256D41E" w:rsidR="001B050C" w:rsidRPr="005F00CB" w:rsidRDefault="001B050C" w:rsidP="00104C14">
      <w:pPr>
        <w:spacing w:line="276" w:lineRule="auto"/>
        <w:jc w:val="both"/>
      </w:pPr>
      <w:r w:rsidRPr="00411C4E">
        <w:rPr>
          <w:rFonts w:eastAsiaTheme="minorHAnsi"/>
          <w:b/>
          <w:i/>
          <w:lang w:val="en-AU"/>
        </w:rPr>
        <w:t xml:space="preserve">Creating a therapeutic </w:t>
      </w:r>
      <w:r>
        <w:rPr>
          <w:rFonts w:eastAsiaTheme="minorHAnsi"/>
          <w:b/>
          <w:i/>
          <w:lang w:val="en-AU"/>
        </w:rPr>
        <w:t>landscape</w:t>
      </w:r>
      <w:r w:rsidRPr="00411C4E">
        <w:rPr>
          <w:rFonts w:eastAsiaTheme="minorHAnsi"/>
          <w:b/>
          <w:i/>
          <w:lang w:val="en-AU"/>
        </w:rPr>
        <w:t>:</w:t>
      </w:r>
      <w:r>
        <w:rPr>
          <w:rFonts w:eastAsiaTheme="minorHAnsi"/>
          <w:b/>
          <w:i/>
          <w:lang w:val="en-AU"/>
        </w:rPr>
        <w:t xml:space="preserve"> </w:t>
      </w:r>
      <w:r>
        <w:rPr>
          <w:rFonts w:eastAsiaTheme="minorHAnsi"/>
          <w:lang w:val="en-AU"/>
        </w:rPr>
        <w:t>L</w:t>
      </w:r>
      <w:r w:rsidRPr="00A84826">
        <w:rPr>
          <w:rFonts w:eastAsiaTheme="minorHAnsi"/>
          <w:lang w:val="en-AU"/>
        </w:rPr>
        <w:t>ibrary users with self-identified mental health</w:t>
      </w:r>
      <w:r>
        <w:rPr>
          <w:rFonts w:eastAsiaTheme="minorHAnsi"/>
          <w:lang w:val="en-AU"/>
        </w:rPr>
        <w:t xml:space="preserve"> issues</w:t>
      </w:r>
      <w:r w:rsidRPr="00A84826">
        <w:rPr>
          <w:rFonts w:eastAsiaTheme="minorHAnsi"/>
          <w:lang w:val="en-AU"/>
        </w:rPr>
        <w:t xml:space="preserve"> </w:t>
      </w:r>
      <w:r>
        <w:rPr>
          <w:rFonts w:eastAsiaTheme="minorHAnsi"/>
          <w:lang w:val="en-AU"/>
        </w:rPr>
        <w:t xml:space="preserve">confirmed in a </w:t>
      </w:r>
      <w:r w:rsidR="004516A3">
        <w:rPr>
          <w:rFonts w:eastAsiaTheme="minorHAnsi"/>
          <w:lang w:val="en-AU"/>
        </w:rPr>
        <w:t xml:space="preserve">UK </w:t>
      </w:r>
      <w:r>
        <w:rPr>
          <w:rFonts w:eastAsiaTheme="minorHAnsi"/>
          <w:lang w:val="en-AU"/>
        </w:rPr>
        <w:t>qualitative study that libraries had</w:t>
      </w:r>
      <w:r w:rsidRPr="00A84826">
        <w:rPr>
          <w:rFonts w:eastAsiaTheme="minorHAnsi"/>
          <w:lang w:val="en-AU"/>
        </w:rPr>
        <w:t xml:space="preserve"> value as a </w:t>
      </w:r>
      <w:r>
        <w:rPr>
          <w:rFonts w:eastAsiaTheme="minorHAnsi"/>
          <w:lang w:val="en-AU"/>
        </w:rPr>
        <w:t>‘</w:t>
      </w:r>
      <w:r w:rsidRPr="00A84826">
        <w:rPr>
          <w:rFonts w:eastAsiaTheme="minorHAnsi"/>
          <w:lang w:val="en-AU"/>
        </w:rPr>
        <w:t xml:space="preserve">therapeutic </w:t>
      </w:r>
      <w:r>
        <w:rPr>
          <w:rFonts w:eastAsiaTheme="minorHAnsi"/>
          <w:lang w:val="en-AU"/>
        </w:rPr>
        <w:t>landscape’</w:t>
      </w:r>
      <w:r w:rsidRPr="00A84826">
        <w:rPr>
          <w:rFonts w:eastAsiaTheme="minorHAnsi"/>
          <w:lang w:val="en-AU"/>
        </w:rPr>
        <w:t xml:space="preserve">. </w:t>
      </w:r>
      <w:r>
        <w:rPr>
          <w:rFonts w:eastAsiaTheme="minorHAnsi"/>
          <w:lang w:val="en-AU"/>
        </w:rPr>
        <w:t>Dominant themes included that the library was perceived as a familiar, non-challenging and welcoming space</w:t>
      </w:r>
      <w:r w:rsidR="004516A3">
        <w:rPr>
          <w:rFonts w:eastAsiaTheme="minorHAnsi"/>
          <w:lang w:val="en-AU"/>
        </w:rPr>
        <w:t xml:space="preserve"> where interaction was optional. It</w:t>
      </w:r>
      <w:r>
        <w:rPr>
          <w:rFonts w:eastAsiaTheme="minorHAnsi"/>
          <w:lang w:val="en-AU"/>
        </w:rPr>
        <w:t xml:space="preserve"> had a quiet and calming atmosphere and was empowering due to access to learning resources (</w:t>
      </w:r>
      <w:r w:rsidRPr="005F00CB">
        <w:t>Brewster 2014</w:t>
      </w:r>
      <w:r>
        <w:t>).</w:t>
      </w:r>
      <w:r w:rsidR="00C2744A">
        <w:t xml:space="preserve"> </w:t>
      </w:r>
      <w:r w:rsidR="00980DFA">
        <w:t xml:space="preserve">The study surfaces </w:t>
      </w:r>
      <w:r w:rsidR="00C2744A">
        <w:t xml:space="preserve">the </w:t>
      </w:r>
      <w:r w:rsidR="00C2744A" w:rsidRPr="00C2744A">
        <w:t xml:space="preserve">previously hidden beneﬁts </w:t>
      </w:r>
      <w:r w:rsidR="00C2744A">
        <w:t xml:space="preserve">of </w:t>
      </w:r>
      <w:r w:rsidR="00980DFA">
        <w:t xml:space="preserve">public library that may assist with </w:t>
      </w:r>
      <w:r w:rsidR="004516A3">
        <w:t>‘</w:t>
      </w:r>
      <w:r w:rsidR="00C2744A" w:rsidRPr="00C2744A">
        <w:t>everyday recovery work of mental health, providing a sanctuary in the face of stress</w:t>
      </w:r>
      <w:r w:rsidR="004516A3">
        <w:t>’</w:t>
      </w:r>
      <w:r w:rsidR="00980DFA">
        <w:t xml:space="preserve"> (2014, p. 99)</w:t>
      </w:r>
      <w:r w:rsidR="00C2744A">
        <w:t>.</w:t>
      </w:r>
    </w:p>
    <w:p w14:paraId="32A98A3F" w14:textId="77777777" w:rsidR="001B050C" w:rsidRPr="00A84826" w:rsidRDefault="001B050C" w:rsidP="00104C14">
      <w:pPr>
        <w:tabs>
          <w:tab w:val="left" w:pos="4794"/>
        </w:tabs>
        <w:kinsoku w:val="0"/>
        <w:overflowPunct w:val="0"/>
        <w:autoSpaceDE w:val="0"/>
        <w:autoSpaceDN w:val="0"/>
        <w:adjustRightInd w:val="0"/>
        <w:spacing w:before="31" w:line="276" w:lineRule="auto"/>
        <w:jc w:val="both"/>
        <w:rPr>
          <w:rFonts w:eastAsiaTheme="minorHAnsi"/>
          <w:lang w:val="en-AU"/>
        </w:rPr>
      </w:pPr>
    </w:p>
    <w:p w14:paraId="7DE4A888" w14:textId="77777777" w:rsidR="009D70DA" w:rsidRPr="00A84826" w:rsidRDefault="009D70DA" w:rsidP="00104C14">
      <w:pPr>
        <w:tabs>
          <w:tab w:val="left" w:pos="4794"/>
        </w:tabs>
        <w:kinsoku w:val="0"/>
        <w:overflowPunct w:val="0"/>
        <w:autoSpaceDE w:val="0"/>
        <w:autoSpaceDN w:val="0"/>
        <w:adjustRightInd w:val="0"/>
        <w:spacing w:before="31" w:line="276" w:lineRule="auto"/>
        <w:jc w:val="both"/>
        <w:rPr>
          <w:rFonts w:eastAsiaTheme="minorHAnsi"/>
          <w:lang w:val="en-AU"/>
        </w:rPr>
      </w:pPr>
    </w:p>
    <w:p w14:paraId="2A2E6261" w14:textId="77777777" w:rsidR="001B050C" w:rsidRPr="001B050C" w:rsidRDefault="001B050C" w:rsidP="00104C14">
      <w:pPr>
        <w:pStyle w:val="ListParagraph"/>
        <w:numPr>
          <w:ilvl w:val="0"/>
          <w:numId w:val="31"/>
        </w:numPr>
        <w:tabs>
          <w:tab w:val="left" w:pos="4794"/>
        </w:tabs>
        <w:kinsoku w:val="0"/>
        <w:overflowPunct w:val="0"/>
        <w:autoSpaceDE w:val="0"/>
        <w:autoSpaceDN w:val="0"/>
        <w:adjustRightInd w:val="0"/>
        <w:spacing w:before="32" w:line="276" w:lineRule="auto"/>
        <w:jc w:val="both"/>
        <w:rPr>
          <w:rFonts w:eastAsiaTheme="minorHAnsi"/>
          <w:b/>
          <w:sz w:val="28"/>
          <w:szCs w:val="28"/>
          <w:lang w:val="en-AU"/>
        </w:rPr>
      </w:pPr>
      <w:r w:rsidRPr="001B050C">
        <w:rPr>
          <w:rFonts w:eastAsiaTheme="minorHAnsi"/>
          <w:b/>
          <w:sz w:val="28"/>
          <w:szCs w:val="28"/>
          <w:lang w:val="en-AU"/>
        </w:rPr>
        <w:t>Community</w:t>
      </w:r>
      <w:r w:rsidRPr="001B050C">
        <w:rPr>
          <w:rFonts w:eastAsiaTheme="minorHAnsi"/>
          <w:b/>
          <w:spacing w:val="18"/>
          <w:sz w:val="28"/>
          <w:szCs w:val="28"/>
          <w:lang w:val="en-AU"/>
        </w:rPr>
        <w:t xml:space="preserve"> </w:t>
      </w:r>
      <w:r w:rsidRPr="001B050C">
        <w:rPr>
          <w:rFonts w:eastAsiaTheme="minorHAnsi"/>
          <w:b/>
          <w:sz w:val="28"/>
          <w:szCs w:val="28"/>
          <w:lang w:val="en-AU"/>
        </w:rPr>
        <w:t>ownership</w:t>
      </w:r>
    </w:p>
    <w:p w14:paraId="5080FBBA" w14:textId="45793BBB" w:rsidR="001B050C" w:rsidRDefault="001B050C" w:rsidP="00104C14">
      <w:pPr>
        <w:tabs>
          <w:tab w:val="left" w:pos="4794"/>
        </w:tabs>
        <w:kinsoku w:val="0"/>
        <w:overflowPunct w:val="0"/>
        <w:autoSpaceDE w:val="0"/>
        <w:autoSpaceDN w:val="0"/>
        <w:adjustRightInd w:val="0"/>
        <w:spacing w:before="31" w:line="276" w:lineRule="auto"/>
        <w:jc w:val="both"/>
        <w:rPr>
          <w:rFonts w:eastAsiaTheme="minorHAnsi"/>
          <w:b/>
          <w:sz w:val="28"/>
          <w:szCs w:val="28"/>
          <w:lang w:val="en-AU"/>
        </w:rPr>
      </w:pPr>
    </w:p>
    <w:p w14:paraId="51306C7E" w14:textId="7DAD5BD0" w:rsidR="00053736" w:rsidRPr="00053736" w:rsidRDefault="00053736" w:rsidP="00104C14">
      <w:pPr>
        <w:tabs>
          <w:tab w:val="left" w:pos="4794"/>
        </w:tabs>
        <w:kinsoku w:val="0"/>
        <w:overflowPunct w:val="0"/>
        <w:autoSpaceDE w:val="0"/>
        <w:autoSpaceDN w:val="0"/>
        <w:adjustRightInd w:val="0"/>
        <w:spacing w:before="31" w:line="276" w:lineRule="auto"/>
        <w:jc w:val="both"/>
        <w:rPr>
          <w:rFonts w:eastAsiaTheme="minorHAnsi"/>
          <w:lang w:val="en-AU"/>
        </w:rPr>
      </w:pPr>
      <w:r w:rsidRPr="00053736">
        <w:rPr>
          <w:rFonts w:eastAsiaTheme="minorHAnsi"/>
          <w:lang w:val="en-AU"/>
        </w:rPr>
        <w:t>Aspects of community ownership of libraries and their information was identified in</w:t>
      </w:r>
      <w:r w:rsidR="009D70DA">
        <w:rPr>
          <w:rFonts w:eastAsiaTheme="minorHAnsi"/>
          <w:lang w:val="en-AU"/>
        </w:rPr>
        <w:t xml:space="preserve"> three </w:t>
      </w:r>
      <w:r w:rsidR="009D70DA" w:rsidRPr="00053736">
        <w:rPr>
          <w:rFonts w:eastAsiaTheme="minorHAnsi"/>
          <w:lang w:val="en-AU"/>
        </w:rPr>
        <w:t>studies</w:t>
      </w:r>
      <w:r w:rsidR="00C6007B">
        <w:rPr>
          <w:rFonts w:eastAsiaTheme="minorHAnsi"/>
          <w:lang w:val="en-AU"/>
        </w:rPr>
        <w:t>,</w:t>
      </w:r>
      <w:r w:rsidR="009D70DA">
        <w:rPr>
          <w:rFonts w:eastAsiaTheme="minorHAnsi"/>
          <w:lang w:val="en-AU"/>
        </w:rPr>
        <w:t xml:space="preserve"> albeit with </w:t>
      </w:r>
      <w:r w:rsidR="00FB7AA2">
        <w:rPr>
          <w:rFonts w:eastAsiaTheme="minorHAnsi"/>
          <w:lang w:val="en-AU"/>
        </w:rPr>
        <w:t xml:space="preserve">very </w:t>
      </w:r>
      <w:r w:rsidR="009D70DA">
        <w:rPr>
          <w:rFonts w:eastAsiaTheme="minorHAnsi"/>
          <w:lang w:val="en-AU"/>
        </w:rPr>
        <w:t>different orientations</w:t>
      </w:r>
      <w:r w:rsidR="00A36E97">
        <w:rPr>
          <w:rFonts w:eastAsiaTheme="minorHAnsi"/>
          <w:lang w:val="en-AU"/>
        </w:rPr>
        <w:t>.</w:t>
      </w:r>
    </w:p>
    <w:p w14:paraId="7F45FC43" w14:textId="77777777" w:rsidR="001B050C" w:rsidRDefault="001B050C" w:rsidP="00104C14">
      <w:pPr>
        <w:tabs>
          <w:tab w:val="left" w:pos="4794"/>
        </w:tabs>
        <w:kinsoku w:val="0"/>
        <w:overflowPunct w:val="0"/>
        <w:autoSpaceDE w:val="0"/>
        <w:autoSpaceDN w:val="0"/>
        <w:adjustRightInd w:val="0"/>
        <w:spacing w:before="31" w:line="276" w:lineRule="auto"/>
        <w:jc w:val="both"/>
        <w:rPr>
          <w:rFonts w:eastAsiaTheme="minorHAnsi"/>
          <w:b/>
          <w:sz w:val="28"/>
          <w:szCs w:val="28"/>
          <w:lang w:val="en-AU"/>
        </w:rPr>
      </w:pPr>
    </w:p>
    <w:p w14:paraId="3AEB938C" w14:textId="1D96F640" w:rsidR="001B050C" w:rsidRDefault="001B050C" w:rsidP="00104C14">
      <w:pPr>
        <w:tabs>
          <w:tab w:val="left" w:pos="4794"/>
        </w:tabs>
        <w:kinsoku w:val="0"/>
        <w:overflowPunct w:val="0"/>
        <w:autoSpaceDE w:val="0"/>
        <w:autoSpaceDN w:val="0"/>
        <w:adjustRightInd w:val="0"/>
        <w:spacing w:before="31" w:line="276" w:lineRule="auto"/>
        <w:jc w:val="both"/>
      </w:pPr>
      <w:r>
        <w:rPr>
          <w:b/>
          <w:i/>
        </w:rPr>
        <w:t>Protecting</w:t>
      </w:r>
      <w:r w:rsidRPr="00411C4E">
        <w:rPr>
          <w:b/>
          <w:i/>
        </w:rPr>
        <w:t xml:space="preserve"> </w:t>
      </w:r>
      <w:r>
        <w:rPr>
          <w:b/>
          <w:i/>
        </w:rPr>
        <w:t>‘</w:t>
      </w:r>
      <w:r w:rsidRPr="00411C4E">
        <w:rPr>
          <w:b/>
          <w:i/>
        </w:rPr>
        <w:t>the commons</w:t>
      </w:r>
      <w:r>
        <w:rPr>
          <w:b/>
          <w:i/>
        </w:rPr>
        <w:t>’</w:t>
      </w:r>
      <w:r w:rsidRPr="00411C4E">
        <w:rPr>
          <w:b/>
          <w:i/>
        </w:rPr>
        <w:t>:</w:t>
      </w:r>
      <w:r>
        <w:t xml:space="preserve"> A literature critique of the growing technology-centered virtual focus of libraries offers a warning that </w:t>
      </w:r>
      <w:r w:rsidR="006D78F7">
        <w:t>‘</w:t>
      </w:r>
      <w:r>
        <w:t>the commons</w:t>
      </w:r>
      <w:r w:rsidR="006D78F7">
        <w:t>’</w:t>
      </w:r>
      <w:r>
        <w:t xml:space="preserve"> or free unfettered access to information is at risk due to the rapid transformation of the Internet into a commercial advertising platform and market place. This could effectively remove free access to information and possibly render the physical library obsolete (van de Pas 2014). </w:t>
      </w:r>
    </w:p>
    <w:p w14:paraId="7A88296A" w14:textId="77777777" w:rsidR="001B050C" w:rsidRDefault="001B050C" w:rsidP="00104C14">
      <w:pPr>
        <w:tabs>
          <w:tab w:val="left" w:pos="4794"/>
        </w:tabs>
        <w:kinsoku w:val="0"/>
        <w:overflowPunct w:val="0"/>
        <w:autoSpaceDE w:val="0"/>
        <w:autoSpaceDN w:val="0"/>
        <w:adjustRightInd w:val="0"/>
        <w:spacing w:before="31" w:line="276" w:lineRule="auto"/>
        <w:jc w:val="both"/>
      </w:pPr>
    </w:p>
    <w:p w14:paraId="54A9B341" w14:textId="2CB2E6E0" w:rsidR="001B050C" w:rsidRDefault="001B050C" w:rsidP="00104C14">
      <w:pPr>
        <w:tabs>
          <w:tab w:val="left" w:pos="4794"/>
        </w:tabs>
        <w:kinsoku w:val="0"/>
        <w:overflowPunct w:val="0"/>
        <w:autoSpaceDE w:val="0"/>
        <w:autoSpaceDN w:val="0"/>
        <w:adjustRightInd w:val="0"/>
        <w:spacing w:before="31" w:line="276" w:lineRule="auto"/>
        <w:jc w:val="both"/>
        <w:rPr>
          <w:rFonts w:eastAsia="Calibri"/>
          <w:lang w:val="en-AU"/>
        </w:rPr>
      </w:pPr>
      <w:r>
        <w:rPr>
          <w:b/>
          <w:i/>
        </w:rPr>
        <w:t>Fostering</w:t>
      </w:r>
      <w:r w:rsidRPr="00411C4E">
        <w:rPr>
          <w:b/>
          <w:i/>
        </w:rPr>
        <w:t xml:space="preserve"> ownership:</w:t>
      </w:r>
      <w:r>
        <w:t xml:space="preserve"> Looking at a different aspect of ownership, a </w:t>
      </w:r>
      <w:r w:rsidR="00303C34">
        <w:t xml:space="preserve">small </w:t>
      </w:r>
      <w:r>
        <w:t xml:space="preserve">number of studies identified a strong sense of community ownership of public library services, which </w:t>
      </w:r>
      <w:r w:rsidR="00FB7AA2">
        <w:t xml:space="preserve">is </w:t>
      </w:r>
      <w:r>
        <w:t xml:space="preserve">heightened when there are threats of funding cuts or library closures (Johnson 2012; </w:t>
      </w:r>
      <w:r w:rsidRPr="00B60722">
        <w:rPr>
          <w:rFonts w:eastAsia="Calibri"/>
          <w:lang w:val="en-AU"/>
        </w:rPr>
        <w:t>Appleton</w:t>
      </w:r>
      <w:r>
        <w:rPr>
          <w:rFonts w:eastAsia="Calibri"/>
          <w:lang w:val="en-AU"/>
        </w:rPr>
        <w:t xml:space="preserve">, Hall, Duff &amp; </w:t>
      </w:r>
      <w:proofErr w:type="spellStart"/>
      <w:r>
        <w:rPr>
          <w:rFonts w:eastAsia="Calibri"/>
          <w:lang w:val="en-AU"/>
        </w:rPr>
        <w:t>Raeside</w:t>
      </w:r>
      <w:proofErr w:type="spellEnd"/>
      <w:r>
        <w:rPr>
          <w:rFonts w:eastAsia="Calibri"/>
          <w:lang w:val="en-AU"/>
        </w:rPr>
        <w:t xml:space="preserve">, </w:t>
      </w:r>
      <w:r w:rsidRPr="00B60722">
        <w:rPr>
          <w:rFonts w:eastAsia="Calibri"/>
          <w:lang w:val="en-AU"/>
        </w:rPr>
        <w:t>2018</w:t>
      </w:r>
      <w:r>
        <w:rPr>
          <w:rFonts w:eastAsia="Calibri"/>
          <w:lang w:val="en-AU"/>
        </w:rPr>
        <w:t>).</w:t>
      </w:r>
    </w:p>
    <w:p w14:paraId="1D4C8C5D" w14:textId="77777777" w:rsidR="001B050C" w:rsidRDefault="001B050C" w:rsidP="00104C14">
      <w:pPr>
        <w:tabs>
          <w:tab w:val="left" w:pos="4794"/>
        </w:tabs>
        <w:kinsoku w:val="0"/>
        <w:overflowPunct w:val="0"/>
        <w:autoSpaceDE w:val="0"/>
        <w:autoSpaceDN w:val="0"/>
        <w:adjustRightInd w:val="0"/>
        <w:spacing w:before="31" w:line="276" w:lineRule="auto"/>
        <w:jc w:val="both"/>
        <w:rPr>
          <w:rFonts w:eastAsiaTheme="minorHAnsi"/>
          <w:b/>
          <w:sz w:val="28"/>
          <w:szCs w:val="28"/>
          <w:lang w:val="en-AU"/>
        </w:rPr>
      </w:pPr>
    </w:p>
    <w:p w14:paraId="0830EA11" w14:textId="77777777" w:rsidR="001B050C" w:rsidRDefault="001B050C" w:rsidP="00104C14">
      <w:pPr>
        <w:spacing w:line="276" w:lineRule="auto"/>
        <w:jc w:val="both"/>
      </w:pPr>
    </w:p>
    <w:p w14:paraId="04C0973E" w14:textId="77777777" w:rsidR="001B050C" w:rsidRPr="001B050C" w:rsidRDefault="001B050C" w:rsidP="00104C14">
      <w:pPr>
        <w:pStyle w:val="ListParagraph"/>
        <w:numPr>
          <w:ilvl w:val="0"/>
          <w:numId w:val="31"/>
        </w:numPr>
        <w:tabs>
          <w:tab w:val="left" w:pos="4794"/>
        </w:tabs>
        <w:kinsoku w:val="0"/>
        <w:overflowPunct w:val="0"/>
        <w:autoSpaceDE w:val="0"/>
        <w:autoSpaceDN w:val="0"/>
        <w:adjustRightInd w:val="0"/>
        <w:spacing w:before="33" w:line="276" w:lineRule="auto"/>
        <w:jc w:val="both"/>
        <w:rPr>
          <w:rFonts w:eastAsiaTheme="minorHAnsi"/>
          <w:b/>
          <w:sz w:val="28"/>
          <w:szCs w:val="28"/>
          <w:lang w:val="en-AU"/>
        </w:rPr>
      </w:pPr>
      <w:r w:rsidRPr="001B050C">
        <w:rPr>
          <w:rFonts w:eastAsiaTheme="minorHAnsi"/>
          <w:b/>
          <w:sz w:val="28"/>
          <w:szCs w:val="28"/>
          <w:lang w:val="en-AU"/>
        </w:rPr>
        <w:t>The</w:t>
      </w:r>
      <w:r w:rsidRPr="001B050C">
        <w:rPr>
          <w:rFonts w:eastAsiaTheme="minorHAnsi"/>
          <w:b/>
          <w:spacing w:val="19"/>
          <w:sz w:val="28"/>
          <w:szCs w:val="28"/>
          <w:lang w:val="en-AU"/>
        </w:rPr>
        <w:t xml:space="preserve"> </w:t>
      </w:r>
      <w:r w:rsidRPr="001B050C">
        <w:rPr>
          <w:rFonts w:eastAsiaTheme="minorHAnsi"/>
          <w:b/>
          <w:sz w:val="28"/>
          <w:szCs w:val="28"/>
          <w:lang w:val="en-AU"/>
        </w:rPr>
        <w:t>economic</w:t>
      </w:r>
      <w:r w:rsidRPr="001B050C">
        <w:rPr>
          <w:rFonts w:eastAsiaTheme="minorHAnsi"/>
          <w:b/>
          <w:spacing w:val="20"/>
          <w:sz w:val="28"/>
          <w:szCs w:val="28"/>
          <w:lang w:val="en-AU"/>
        </w:rPr>
        <w:t xml:space="preserve"> </w:t>
      </w:r>
      <w:r w:rsidRPr="001B050C">
        <w:rPr>
          <w:rFonts w:eastAsiaTheme="minorHAnsi"/>
          <w:b/>
          <w:sz w:val="28"/>
          <w:szCs w:val="28"/>
          <w:lang w:val="en-AU"/>
        </w:rPr>
        <w:t>impact</w:t>
      </w:r>
      <w:r w:rsidRPr="001B050C">
        <w:rPr>
          <w:rFonts w:eastAsiaTheme="minorHAnsi"/>
          <w:b/>
          <w:spacing w:val="16"/>
          <w:sz w:val="28"/>
          <w:szCs w:val="28"/>
          <w:lang w:val="en-AU"/>
        </w:rPr>
        <w:t xml:space="preserve"> </w:t>
      </w:r>
      <w:r w:rsidRPr="001B050C">
        <w:rPr>
          <w:rFonts w:eastAsiaTheme="minorHAnsi"/>
          <w:b/>
          <w:sz w:val="28"/>
          <w:szCs w:val="28"/>
          <w:lang w:val="en-AU"/>
        </w:rPr>
        <w:t>of</w:t>
      </w:r>
      <w:r w:rsidRPr="001B050C">
        <w:rPr>
          <w:rFonts w:eastAsiaTheme="minorHAnsi"/>
          <w:b/>
          <w:spacing w:val="18"/>
          <w:sz w:val="28"/>
          <w:szCs w:val="28"/>
          <w:lang w:val="en-AU"/>
        </w:rPr>
        <w:t xml:space="preserve"> </w:t>
      </w:r>
      <w:r w:rsidRPr="001B050C">
        <w:rPr>
          <w:rFonts w:eastAsiaTheme="minorHAnsi"/>
          <w:b/>
          <w:sz w:val="28"/>
          <w:szCs w:val="28"/>
          <w:lang w:val="en-AU"/>
        </w:rPr>
        <w:t>the</w:t>
      </w:r>
      <w:r w:rsidRPr="001B050C">
        <w:rPr>
          <w:rFonts w:eastAsiaTheme="minorHAnsi"/>
          <w:b/>
          <w:spacing w:val="19"/>
          <w:sz w:val="28"/>
          <w:szCs w:val="28"/>
          <w:lang w:val="en-AU"/>
        </w:rPr>
        <w:t xml:space="preserve"> </w:t>
      </w:r>
      <w:r w:rsidRPr="001B050C">
        <w:rPr>
          <w:rFonts w:eastAsiaTheme="minorHAnsi"/>
          <w:b/>
          <w:sz w:val="28"/>
          <w:szCs w:val="28"/>
          <w:lang w:val="en-AU"/>
        </w:rPr>
        <w:t>library</w:t>
      </w:r>
    </w:p>
    <w:p w14:paraId="1C09D6EB" w14:textId="77777777" w:rsidR="00C74C63" w:rsidRDefault="00C74C63" w:rsidP="00104C14">
      <w:pPr>
        <w:tabs>
          <w:tab w:val="left" w:pos="4794"/>
        </w:tabs>
        <w:kinsoku w:val="0"/>
        <w:overflowPunct w:val="0"/>
        <w:autoSpaceDE w:val="0"/>
        <w:autoSpaceDN w:val="0"/>
        <w:adjustRightInd w:val="0"/>
        <w:spacing w:before="33" w:line="276" w:lineRule="auto"/>
        <w:jc w:val="both"/>
        <w:rPr>
          <w:rFonts w:eastAsiaTheme="minorHAnsi"/>
          <w:lang w:val="en-AU"/>
        </w:rPr>
      </w:pPr>
    </w:p>
    <w:p w14:paraId="6B76D82C" w14:textId="232D4DAE" w:rsidR="001B050C" w:rsidRPr="00303C34" w:rsidRDefault="00303C34" w:rsidP="00104C14">
      <w:pPr>
        <w:tabs>
          <w:tab w:val="left" w:pos="4794"/>
        </w:tabs>
        <w:kinsoku w:val="0"/>
        <w:overflowPunct w:val="0"/>
        <w:autoSpaceDE w:val="0"/>
        <w:autoSpaceDN w:val="0"/>
        <w:adjustRightInd w:val="0"/>
        <w:spacing w:before="33" w:line="276" w:lineRule="auto"/>
        <w:jc w:val="both"/>
        <w:rPr>
          <w:rFonts w:eastAsiaTheme="minorHAnsi"/>
          <w:lang w:val="en-AU"/>
        </w:rPr>
      </w:pPr>
      <w:r w:rsidRPr="00303C34">
        <w:rPr>
          <w:rFonts w:eastAsiaTheme="minorHAnsi"/>
          <w:lang w:val="en-AU"/>
        </w:rPr>
        <w:t xml:space="preserve">Determining the economic impact of the library was first </w:t>
      </w:r>
      <w:r>
        <w:rPr>
          <w:rFonts w:eastAsiaTheme="minorHAnsi"/>
          <w:lang w:val="en-AU"/>
        </w:rPr>
        <w:t xml:space="preserve">undertaken in separate landmark studies in Queensland and Victoria. These resulted in the development of a national picture of the economic impact of libraries. One </w:t>
      </w:r>
      <w:r w:rsidR="00C6007B">
        <w:rPr>
          <w:rFonts w:eastAsiaTheme="minorHAnsi"/>
          <w:lang w:val="en-AU"/>
        </w:rPr>
        <w:t xml:space="preserve">qualitative </w:t>
      </w:r>
      <w:r>
        <w:rPr>
          <w:rFonts w:eastAsiaTheme="minorHAnsi"/>
          <w:lang w:val="en-AU"/>
        </w:rPr>
        <w:t xml:space="preserve">study </w:t>
      </w:r>
      <w:r w:rsidR="00DE6B81">
        <w:rPr>
          <w:rFonts w:eastAsiaTheme="minorHAnsi"/>
          <w:lang w:val="en-AU"/>
        </w:rPr>
        <w:t>briefly addresses</w:t>
      </w:r>
      <w:r>
        <w:rPr>
          <w:rFonts w:eastAsiaTheme="minorHAnsi"/>
          <w:lang w:val="en-AU"/>
        </w:rPr>
        <w:t xml:space="preserve"> the economic benefits of assisting users to achieve job outcomes.</w:t>
      </w:r>
    </w:p>
    <w:p w14:paraId="594F3D21" w14:textId="77777777" w:rsidR="00303C34" w:rsidRDefault="00303C34" w:rsidP="00104C14">
      <w:pPr>
        <w:spacing w:line="276" w:lineRule="auto"/>
        <w:jc w:val="both"/>
        <w:rPr>
          <w:b/>
          <w:i/>
          <w:color w:val="1A1A1A"/>
        </w:rPr>
      </w:pPr>
    </w:p>
    <w:p w14:paraId="49500818" w14:textId="1CF269C9" w:rsidR="001B050C" w:rsidRPr="00A4250B" w:rsidRDefault="001B050C" w:rsidP="00104C14">
      <w:pPr>
        <w:spacing w:line="276" w:lineRule="auto"/>
        <w:jc w:val="both"/>
        <w:rPr>
          <w:color w:val="1A1A1A"/>
        </w:rPr>
      </w:pPr>
      <w:r w:rsidRPr="00890DAB">
        <w:rPr>
          <w:b/>
          <w:i/>
          <w:color w:val="1A1A1A"/>
        </w:rPr>
        <w:t>Multiplying return on investment:</w:t>
      </w:r>
      <w:r>
        <w:rPr>
          <w:color w:val="1A1A1A"/>
        </w:rPr>
        <w:t xml:space="preserve"> </w:t>
      </w:r>
      <w:r w:rsidRPr="00A4250B">
        <w:rPr>
          <w:color w:val="1A1A1A"/>
        </w:rPr>
        <w:t xml:space="preserve">In 2013, </w:t>
      </w:r>
      <w:r w:rsidR="00E56796">
        <w:rPr>
          <w:color w:val="1A1A1A"/>
        </w:rPr>
        <w:t xml:space="preserve">the </w:t>
      </w:r>
      <w:r w:rsidRPr="00A4250B">
        <w:rPr>
          <w:color w:val="1A1A1A"/>
        </w:rPr>
        <w:t xml:space="preserve">Australian Library and Information Association (ALIA) commissioned SGS Economics and Planning (SGS) to value the contributions that public libraries make to Australian community welfare and economic activity. Nationally, the study estimated that the total annual benefit provided by public libraries in Australia was $3 billion and the total associated annual cost was $1.03 billion (SGS 2013, </w:t>
      </w:r>
      <w:r w:rsidR="00A836FD">
        <w:rPr>
          <w:color w:val="1A1A1A"/>
        </w:rPr>
        <w:t xml:space="preserve">p. </w:t>
      </w:r>
      <w:r w:rsidRPr="00A4250B">
        <w:rPr>
          <w:color w:val="1A1A1A"/>
        </w:rPr>
        <w:t xml:space="preserve">5). This equated to a net annual benefit of $1.97 billion, translated as a benefit cost factor ratio of 2.9 which according to SGS indicates </w:t>
      </w:r>
      <w:r>
        <w:rPr>
          <w:color w:val="1A1A1A"/>
        </w:rPr>
        <w:t>‘</w:t>
      </w:r>
      <w:r w:rsidRPr="00A4250B">
        <w:rPr>
          <w:color w:val="1A1A1A"/>
        </w:rPr>
        <w:t>a sound return on investment</w:t>
      </w:r>
      <w:r>
        <w:rPr>
          <w:color w:val="1A1A1A"/>
        </w:rPr>
        <w:t xml:space="preserve">’ (2013, </w:t>
      </w:r>
      <w:r w:rsidR="00A836FD">
        <w:rPr>
          <w:color w:val="1A1A1A"/>
        </w:rPr>
        <w:t xml:space="preserve">p. </w:t>
      </w:r>
      <w:r w:rsidRPr="00A4250B">
        <w:rPr>
          <w:color w:val="1A1A1A"/>
        </w:rPr>
        <w:t>6)</w:t>
      </w:r>
      <w:r w:rsidR="00E56796">
        <w:rPr>
          <w:color w:val="1A1A1A"/>
        </w:rPr>
        <w:t>.</w:t>
      </w:r>
      <w:r w:rsidRPr="00A4250B">
        <w:rPr>
          <w:color w:val="1A1A1A"/>
        </w:rPr>
        <w:t xml:space="preserve"> Further, SGS a</w:t>
      </w:r>
      <w:r>
        <w:rPr>
          <w:color w:val="1A1A1A"/>
        </w:rPr>
        <w:t>rgues a multiplier effect with ‘</w:t>
      </w:r>
      <w:r w:rsidRPr="00A4250B">
        <w:rPr>
          <w:color w:val="1A1A1A"/>
        </w:rPr>
        <w:t>the greater the investment, the larger the benefits derived by respective communities</w:t>
      </w:r>
      <w:r>
        <w:rPr>
          <w:color w:val="1A1A1A"/>
        </w:rPr>
        <w:t xml:space="preserve">’ (2013, </w:t>
      </w:r>
      <w:r w:rsidR="00A836FD">
        <w:rPr>
          <w:color w:val="1A1A1A"/>
        </w:rPr>
        <w:t xml:space="preserve">p </w:t>
      </w:r>
      <w:r w:rsidRPr="00A4250B">
        <w:rPr>
          <w:color w:val="1A1A1A"/>
        </w:rPr>
        <w:t>6). The study also calculates the economic stimulus associated with public libraries and estimated recurrent economic impact.  Included in the SGS report are state-by-state figures enabling the extrapolation of a Western Australian profile</w:t>
      </w:r>
      <w:r>
        <w:rPr>
          <w:color w:val="1A1A1A"/>
        </w:rPr>
        <w:t xml:space="preserve"> (ALIA 2013)</w:t>
      </w:r>
      <w:proofErr w:type="gramStart"/>
      <w:r>
        <w:rPr>
          <w:color w:val="1A1A1A"/>
        </w:rPr>
        <w:t>.</w:t>
      </w:r>
      <w:proofErr w:type="gramEnd"/>
    </w:p>
    <w:p w14:paraId="1E536127" w14:textId="77777777" w:rsidR="001B050C" w:rsidRPr="00A4250B" w:rsidRDefault="001B050C" w:rsidP="00104C14">
      <w:pPr>
        <w:spacing w:line="276" w:lineRule="auto"/>
        <w:jc w:val="both"/>
        <w:rPr>
          <w:color w:val="1A1A1A"/>
        </w:rPr>
      </w:pPr>
    </w:p>
    <w:p w14:paraId="7FC2E63D" w14:textId="3F02B798" w:rsidR="001B050C" w:rsidRDefault="001B050C" w:rsidP="00104C14">
      <w:pPr>
        <w:spacing w:line="276" w:lineRule="auto"/>
        <w:jc w:val="both"/>
        <w:rPr>
          <w:color w:val="1A1A1A"/>
        </w:rPr>
      </w:pPr>
      <w:r w:rsidRPr="00A4250B">
        <w:rPr>
          <w:color w:val="1A1A1A"/>
        </w:rPr>
        <w:t>In establishing the net worth of Western Australian public libraries, the estimate</w:t>
      </w:r>
      <w:r w:rsidR="00187E61">
        <w:rPr>
          <w:color w:val="1A1A1A"/>
        </w:rPr>
        <w:t>d total annual benefit was $294.</w:t>
      </w:r>
      <w:r w:rsidRPr="00A4250B">
        <w:rPr>
          <w:color w:val="1A1A1A"/>
        </w:rPr>
        <w:t>1</w:t>
      </w:r>
      <w:r w:rsidR="00187E61">
        <w:rPr>
          <w:color w:val="1A1A1A"/>
        </w:rPr>
        <w:t>million</w:t>
      </w:r>
      <w:r w:rsidRPr="00A4250B">
        <w:rPr>
          <w:color w:val="1A1A1A"/>
        </w:rPr>
        <w:t xml:space="preserve"> less re</w:t>
      </w:r>
      <w:r w:rsidR="00187E61">
        <w:rPr>
          <w:color w:val="1A1A1A"/>
        </w:rPr>
        <w:t>current operating costs of $111.</w:t>
      </w:r>
      <w:r w:rsidRPr="00A4250B">
        <w:rPr>
          <w:color w:val="1A1A1A"/>
        </w:rPr>
        <w:t>9</w:t>
      </w:r>
      <w:r w:rsidR="00187E61">
        <w:rPr>
          <w:color w:val="1A1A1A"/>
        </w:rPr>
        <w:t xml:space="preserve"> million</w:t>
      </w:r>
      <w:r w:rsidRPr="00A4250B">
        <w:rPr>
          <w:color w:val="1A1A1A"/>
        </w:rPr>
        <w:t>, resulting in a net benefit of $182</w:t>
      </w:r>
      <w:r w:rsidR="00187E61">
        <w:rPr>
          <w:color w:val="1A1A1A"/>
        </w:rPr>
        <w:t>.2 million</w:t>
      </w:r>
      <w:r>
        <w:rPr>
          <w:color w:val="1A1A1A"/>
        </w:rPr>
        <w:t xml:space="preserve"> (SGS 2013, </w:t>
      </w:r>
      <w:r w:rsidR="00A836FD">
        <w:rPr>
          <w:color w:val="1A1A1A"/>
        </w:rPr>
        <w:t xml:space="preserve">p. </w:t>
      </w:r>
      <w:r>
        <w:rPr>
          <w:color w:val="1A1A1A"/>
        </w:rPr>
        <w:t>8)</w:t>
      </w:r>
      <w:r w:rsidRPr="00A4250B">
        <w:rPr>
          <w:color w:val="1A1A1A"/>
        </w:rPr>
        <w:t>. Indicated is a benefit cost factor of 2.6, comparable with the national figure. Further, SGS argues that the economy of public libraries triggers expenditure in other associated areas (e.g. ret</w:t>
      </w:r>
      <w:r w:rsidR="00187E61">
        <w:rPr>
          <w:color w:val="1A1A1A"/>
        </w:rPr>
        <w:t>ail industry) estimated at $227.</w:t>
      </w:r>
      <w:r w:rsidRPr="00A4250B">
        <w:rPr>
          <w:color w:val="1A1A1A"/>
        </w:rPr>
        <w:t>8</w:t>
      </w:r>
      <w:r w:rsidR="00187E61">
        <w:rPr>
          <w:color w:val="1A1A1A"/>
        </w:rPr>
        <w:t xml:space="preserve"> million </w:t>
      </w:r>
      <w:r w:rsidRPr="00A4250B">
        <w:rPr>
          <w:color w:val="1A1A1A"/>
        </w:rPr>
        <w:t>annually for Western Australia outweighing the public costs of p</w:t>
      </w:r>
      <w:r w:rsidR="00187E61">
        <w:rPr>
          <w:color w:val="1A1A1A"/>
        </w:rPr>
        <w:t>roviding library services ($111.</w:t>
      </w:r>
      <w:r w:rsidRPr="00A4250B">
        <w:rPr>
          <w:color w:val="1A1A1A"/>
        </w:rPr>
        <w:t>9</w:t>
      </w:r>
      <w:r w:rsidR="00187E61">
        <w:rPr>
          <w:color w:val="1A1A1A"/>
        </w:rPr>
        <w:t xml:space="preserve"> million</w:t>
      </w:r>
      <w:r w:rsidRPr="00A4250B">
        <w:rPr>
          <w:color w:val="1A1A1A"/>
        </w:rPr>
        <w:t>). When estimating the recurrent economic impact of public libraries including employment and associated va</w:t>
      </w:r>
      <w:r w:rsidR="00187E61">
        <w:rPr>
          <w:color w:val="1A1A1A"/>
        </w:rPr>
        <w:t>lue add, this is valued at $361.</w:t>
      </w:r>
      <w:r w:rsidRPr="00A4250B">
        <w:rPr>
          <w:color w:val="1A1A1A"/>
        </w:rPr>
        <w:t>5</w:t>
      </w:r>
      <w:r w:rsidR="00187E61">
        <w:rPr>
          <w:color w:val="1A1A1A"/>
        </w:rPr>
        <w:t xml:space="preserve"> million</w:t>
      </w:r>
      <w:r w:rsidRPr="00A4250B">
        <w:rPr>
          <w:color w:val="1A1A1A"/>
        </w:rPr>
        <w:t xml:space="preserve"> annually for Western Australia. While SGS argues that collectively the findings establish a strong basis for increased funding to public librar</w:t>
      </w:r>
      <w:r w:rsidR="00E56796">
        <w:rPr>
          <w:color w:val="1A1A1A"/>
        </w:rPr>
        <w:t>ies</w:t>
      </w:r>
      <w:r w:rsidRPr="00A4250B">
        <w:rPr>
          <w:color w:val="1A1A1A"/>
        </w:rPr>
        <w:t xml:space="preserve">, </w:t>
      </w:r>
      <w:r w:rsidR="00E56796">
        <w:rPr>
          <w:color w:val="1A1A1A"/>
        </w:rPr>
        <w:t xml:space="preserve">the </w:t>
      </w:r>
      <w:r w:rsidRPr="00A4250B">
        <w:rPr>
          <w:color w:val="1A1A1A"/>
        </w:rPr>
        <w:t xml:space="preserve">figures also confirm the value add of libraries to local and state economies. </w:t>
      </w:r>
    </w:p>
    <w:p w14:paraId="7307A087" w14:textId="77777777" w:rsidR="001B050C" w:rsidRDefault="001B050C" w:rsidP="00104C14">
      <w:pPr>
        <w:spacing w:line="276" w:lineRule="auto"/>
        <w:jc w:val="both"/>
        <w:rPr>
          <w:b/>
          <w:i/>
        </w:rPr>
      </w:pPr>
    </w:p>
    <w:p w14:paraId="06A64A51" w14:textId="02882BCA" w:rsidR="001B050C" w:rsidRDefault="001B050C" w:rsidP="00104C14">
      <w:pPr>
        <w:spacing w:line="276" w:lineRule="auto"/>
        <w:jc w:val="both"/>
        <w:rPr>
          <w:rFonts w:eastAsiaTheme="minorHAnsi"/>
          <w:lang w:val="en-AU"/>
        </w:rPr>
      </w:pPr>
      <w:r>
        <w:rPr>
          <w:b/>
          <w:i/>
        </w:rPr>
        <w:t>Enhancing employability</w:t>
      </w:r>
      <w:r>
        <w:t xml:space="preserve">: </w:t>
      </w:r>
      <w:r w:rsidR="00187E61">
        <w:t>A UK qualitative study found e</w:t>
      </w:r>
      <w:r w:rsidRPr="00786985">
        <w:t xml:space="preserve">conomic benefits </w:t>
      </w:r>
      <w:r w:rsidR="00187E61">
        <w:t xml:space="preserve">via </w:t>
      </w:r>
      <w:r w:rsidRPr="00786985">
        <w:t>the dividend received by individuals finding employment or being supported and equipped with job</w:t>
      </w:r>
      <w:r w:rsidR="00E56796">
        <w:t>-</w:t>
      </w:r>
      <w:r w:rsidRPr="00786985">
        <w:t>seeking skills through library support services</w:t>
      </w:r>
      <w:r w:rsidR="00786985">
        <w:t xml:space="preserve"> </w:t>
      </w:r>
      <w:r w:rsidRPr="00786985">
        <w:t>(</w:t>
      </w:r>
      <w:proofErr w:type="spellStart"/>
      <w:r w:rsidRPr="00786985">
        <w:rPr>
          <w:rFonts w:eastAsiaTheme="minorHAnsi"/>
          <w:lang w:val="en-AU"/>
        </w:rPr>
        <w:t>Halpin</w:t>
      </w:r>
      <w:proofErr w:type="spellEnd"/>
      <w:r w:rsidRPr="00786985">
        <w:rPr>
          <w:rFonts w:eastAsiaTheme="minorHAnsi"/>
          <w:lang w:val="en-AU"/>
        </w:rPr>
        <w:t>,</w:t>
      </w:r>
      <w:r w:rsidRPr="00C750E6">
        <w:rPr>
          <w:rFonts w:eastAsiaTheme="minorHAnsi"/>
          <w:lang w:val="en-AU"/>
        </w:rPr>
        <w:t xml:space="preserve"> Rankin, </w:t>
      </w:r>
      <w:proofErr w:type="gramStart"/>
      <w:r w:rsidRPr="00C750E6">
        <w:rPr>
          <w:rFonts w:eastAsiaTheme="minorHAnsi"/>
          <w:lang w:val="en-AU"/>
        </w:rPr>
        <w:t>Chapman</w:t>
      </w:r>
      <w:proofErr w:type="gramEnd"/>
      <w:r w:rsidRPr="00C750E6">
        <w:rPr>
          <w:rFonts w:eastAsiaTheme="minorHAnsi"/>
          <w:lang w:val="en-AU"/>
        </w:rPr>
        <w:t xml:space="preserve"> &amp; Walker 2015</w:t>
      </w:r>
      <w:r>
        <w:rPr>
          <w:rFonts w:eastAsiaTheme="minorHAnsi"/>
          <w:lang w:val="en-AU"/>
        </w:rPr>
        <w:t xml:space="preserve">). </w:t>
      </w:r>
    </w:p>
    <w:p w14:paraId="3D049E9A" w14:textId="054A4210" w:rsidR="0082274E" w:rsidRDefault="0082274E" w:rsidP="00104C14">
      <w:pPr>
        <w:spacing w:line="276" w:lineRule="auto"/>
        <w:jc w:val="both"/>
        <w:rPr>
          <w:rFonts w:eastAsiaTheme="minorHAnsi"/>
          <w:lang w:val="en-AU"/>
        </w:rPr>
      </w:pPr>
    </w:p>
    <w:p w14:paraId="0CD517B6" w14:textId="0761E770" w:rsidR="0082274E" w:rsidRDefault="0082274E" w:rsidP="00104C14">
      <w:pPr>
        <w:spacing w:line="276" w:lineRule="auto"/>
        <w:jc w:val="both"/>
        <w:rPr>
          <w:rFonts w:eastAsiaTheme="minorHAnsi"/>
          <w:lang w:val="en-AU"/>
        </w:rPr>
      </w:pPr>
    </w:p>
    <w:p w14:paraId="51F860DE" w14:textId="77777777" w:rsidR="0082274E" w:rsidRDefault="0082274E" w:rsidP="00104C14">
      <w:pPr>
        <w:spacing w:line="276" w:lineRule="auto"/>
        <w:jc w:val="both"/>
        <w:rPr>
          <w:rFonts w:eastAsiaTheme="minorHAnsi"/>
          <w:lang w:val="en-AU"/>
        </w:rPr>
      </w:pPr>
      <w:bookmarkStart w:id="0" w:name="_GoBack"/>
      <w:bookmarkEnd w:id="0"/>
    </w:p>
    <w:p w14:paraId="508C78D7" w14:textId="77777777" w:rsidR="001B050C" w:rsidRPr="001B050C" w:rsidRDefault="001B050C" w:rsidP="00104C14">
      <w:pPr>
        <w:pStyle w:val="ListParagraph"/>
        <w:numPr>
          <w:ilvl w:val="0"/>
          <w:numId w:val="31"/>
        </w:numPr>
        <w:spacing w:line="276" w:lineRule="auto"/>
        <w:jc w:val="both"/>
        <w:rPr>
          <w:b/>
          <w:sz w:val="28"/>
          <w:szCs w:val="28"/>
        </w:rPr>
      </w:pPr>
      <w:r w:rsidRPr="001B050C">
        <w:rPr>
          <w:rFonts w:eastAsiaTheme="minorHAnsi"/>
          <w:b/>
          <w:sz w:val="28"/>
          <w:szCs w:val="28"/>
          <w:lang w:val="en-AU"/>
        </w:rPr>
        <w:lastRenderedPageBreak/>
        <w:t>Equity in service</w:t>
      </w:r>
      <w:r w:rsidRPr="001B050C">
        <w:rPr>
          <w:rFonts w:eastAsiaTheme="minorHAnsi"/>
          <w:b/>
          <w:spacing w:val="9"/>
          <w:sz w:val="28"/>
          <w:szCs w:val="28"/>
          <w:lang w:val="en-AU"/>
        </w:rPr>
        <w:t xml:space="preserve"> </w:t>
      </w:r>
      <w:r w:rsidRPr="001B050C">
        <w:rPr>
          <w:rFonts w:eastAsiaTheme="minorHAnsi"/>
          <w:b/>
          <w:sz w:val="28"/>
          <w:szCs w:val="28"/>
          <w:lang w:val="en-AU"/>
        </w:rPr>
        <w:t>delivery</w:t>
      </w:r>
    </w:p>
    <w:p w14:paraId="3804C166" w14:textId="77777777" w:rsidR="001B050C" w:rsidRPr="00672B95" w:rsidRDefault="001B050C" w:rsidP="00104C14">
      <w:pPr>
        <w:spacing w:line="276" w:lineRule="auto"/>
        <w:jc w:val="both"/>
        <w:rPr>
          <w:sz w:val="28"/>
          <w:szCs w:val="28"/>
        </w:rPr>
      </w:pPr>
    </w:p>
    <w:p w14:paraId="297C321C" w14:textId="77777777" w:rsidR="001B050C" w:rsidRDefault="001B050C" w:rsidP="00104C14">
      <w:pPr>
        <w:spacing w:line="276" w:lineRule="auto"/>
        <w:jc w:val="both"/>
      </w:pPr>
      <w:r>
        <w:t xml:space="preserve">An identified value of public libraries was equity in service delivery through providing a place and support for disadvantaged groups. Across the searched literature, disadvantaged or marginalized groups in relation to libraries were identified as: the poor, homeless, ethnic minorities, migrants, refugees, the aged and people with mental health, physical and learning challenges. </w:t>
      </w:r>
    </w:p>
    <w:p w14:paraId="1C9B1DA9" w14:textId="77777777" w:rsidR="001B050C" w:rsidRDefault="001B050C" w:rsidP="00104C14">
      <w:pPr>
        <w:spacing w:line="276" w:lineRule="auto"/>
        <w:jc w:val="both"/>
      </w:pPr>
    </w:p>
    <w:p w14:paraId="05CDACCC" w14:textId="0192E746" w:rsidR="001B050C" w:rsidRDefault="000147D3" w:rsidP="00104C14">
      <w:pPr>
        <w:spacing w:line="276" w:lineRule="auto"/>
        <w:jc w:val="both"/>
      </w:pPr>
      <w:r>
        <w:rPr>
          <w:b/>
          <w:i/>
        </w:rPr>
        <w:t>Integrating i</w:t>
      </w:r>
      <w:r w:rsidR="001B050C">
        <w:rPr>
          <w:b/>
          <w:i/>
        </w:rPr>
        <w:t>mm</w:t>
      </w:r>
      <w:r w:rsidR="001B050C" w:rsidRPr="00042F29">
        <w:rPr>
          <w:b/>
          <w:i/>
        </w:rPr>
        <w:t>igrants</w:t>
      </w:r>
      <w:r w:rsidR="001B050C">
        <w:rPr>
          <w:b/>
          <w:i/>
        </w:rPr>
        <w:t>:</w:t>
      </w:r>
      <w:r w:rsidR="001B050C" w:rsidRPr="005F00CB">
        <w:t xml:space="preserve"> </w:t>
      </w:r>
      <w:r w:rsidR="001B050C">
        <w:t xml:space="preserve"> A qualitative study of</w:t>
      </w:r>
      <w:r w:rsidR="001B050C" w:rsidRPr="005F00CB">
        <w:t xml:space="preserve"> immigrant women</w:t>
      </w:r>
      <w:r w:rsidR="001B050C">
        <w:t xml:space="preserve"> in Norway found that </w:t>
      </w:r>
      <w:r w:rsidR="001B050C" w:rsidRPr="005F00CB">
        <w:t>the public library represented a place</w:t>
      </w:r>
      <w:r w:rsidR="001B050C">
        <w:t xml:space="preserve"> to meet and interact socially </w:t>
      </w:r>
      <w:r w:rsidR="001E1724">
        <w:t>while</w:t>
      </w:r>
      <w:r w:rsidR="001B050C">
        <w:t xml:space="preserve"> </w:t>
      </w:r>
      <w:r w:rsidR="001B050C" w:rsidRPr="005F00CB">
        <w:t>integrat</w:t>
      </w:r>
      <w:r w:rsidR="001E1724">
        <w:t>ing</w:t>
      </w:r>
      <w:r w:rsidR="001B050C" w:rsidRPr="005F00CB">
        <w:t xml:space="preserve"> into </w:t>
      </w:r>
      <w:r w:rsidR="001B050C">
        <w:t>the new country</w:t>
      </w:r>
      <w:r w:rsidR="001B050C" w:rsidRPr="005F00CB">
        <w:t xml:space="preserve">. </w:t>
      </w:r>
      <w:r w:rsidR="001B050C">
        <w:t>The library offered</w:t>
      </w:r>
      <w:r w:rsidR="001B050C" w:rsidRPr="005F00CB">
        <w:t xml:space="preserve"> a bridge to the new culture as well as </w:t>
      </w:r>
      <w:r w:rsidR="00E56796">
        <w:t xml:space="preserve">a </w:t>
      </w:r>
      <w:r w:rsidR="001B050C" w:rsidRPr="005F00CB">
        <w:t xml:space="preserve">connection to their culture of origin, assisting </w:t>
      </w:r>
      <w:r w:rsidR="001B050C">
        <w:t xml:space="preserve">immigrants </w:t>
      </w:r>
      <w:r w:rsidR="001B050C" w:rsidRPr="005F00CB">
        <w:t>to transition from initially distan</w:t>
      </w:r>
      <w:r w:rsidR="00E56796">
        <w:t>t</w:t>
      </w:r>
      <w:r w:rsidR="001B050C" w:rsidRPr="005F00CB">
        <w:t xml:space="preserve"> to</w:t>
      </w:r>
      <w:r w:rsidR="00E56796">
        <w:t xml:space="preserve"> more</w:t>
      </w:r>
      <w:r w:rsidR="001B050C" w:rsidRPr="005F00CB">
        <w:t xml:space="preserve"> active participation</w:t>
      </w:r>
      <w:r w:rsidR="001B050C">
        <w:t xml:space="preserve"> (</w:t>
      </w:r>
      <w:proofErr w:type="spellStart"/>
      <w:r w:rsidR="001B050C" w:rsidRPr="005F00CB">
        <w:t>Aud</w:t>
      </w:r>
      <w:r w:rsidR="001B050C">
        <w:t>unson</w:t>
      </w:r>
      <w:proofErr w:type="spellEnd"/>
      <w:r w:rsidR="001B050C">
        <w:t xml:space="preserve">, </w:t>
      </w:r>
      <w:proofErr w:type="spellStart"/>
      <w:r w:rsidR="001B050C">
        <w:t>Essmat</w:t>
      </w:r>
      <w:proofErr w:type="spellEnd"/>
      <w:r w:rsidR="001B050C">
        <w:t xml:space="preserve"> &amp; </w:t>
      </w:r>
      <w:proofErr w:type="spellStart"/>
      <w:r w:rsidR="001B050C">
        <w:t>Aabø</w:t>
      </w:r>
      <w:proofErr w:type="spellEnd"/>
      <w:r w:rsidR="001B050C">
        <w:t xml:space="preserve"> 2011)</w:t>
      </w:r>
      <w:r w:rsidR="001B050C" w:rsidRPr="005F00CB">
        <w:t>.</w:t>
      </w:r>
      <w:r w:rsidR="001B050C">
        <w:t xml:space="preserve"> </w:t>
      </w:r>
    </w:p>
    <w:p w14:paraId="3E6ABDC4" w14:textId="77777777" w:rsidR="001B050C" w:rsidRDefault="001B050C" w:rsidP="00104C14">
      <w:pPr>
        <w:spacing w:line="276" w:lineRule="auto"/>
        <w:jc w:val="both"/>
      </w:pPr>
    </w:p>
    <w:p w14:paraId="1FFECFC3" w14:textId="4D0B9149" w:rsidR="001B050C" w:rsidRDefault="001B050C" w:rsidP="00104C14">
      <w:pPr>
        <w:spacing w:before="240" w:line="276" w:lineRule="auto"/>
        <w:jc w:val="both"/>
        <w:rPr>
          <w:rFonts w:eastAsiaTheme="minorHAnsi"/>
          <w:lang w:val="en-AU"/>
        </w:rPr>
      </w:pPr>
      <w:r>
        <w:t>Findings from a mixed methods study</w:t>
      </w:r>
      <w:r w:rsidR="00187E61">
        <w:t xml:space="preserve"> in Australia</w:t>
      </w:r>
      <w:r>
        <w:t xml:space="preserve"> including surveying and interview</w:t>
      </w:r>
      <w:r w:rsidR="00E56796">
        <w:t>ing</w:t>
      </w:r>
      <w:r>
        <w:t xml:space="preserve"> 170 Asian immigrants show that the major reasons for visiting public libraries were to source materials in collections, attend library activities, use the library space for studying or reading and to meet friends</w:t>
      </w:r>
      <w:r w:rsidR="00187E61">
        <w:t xml:space="preserve"> (</w:t>
      </w:r>
      <w:proofErr w:type="spellStart"/>
      <w:r w:rsidR="00187E61" w:rsidRPr="005F00CB">
        <w:rPr>
          <w:rFonts w:eastAsiaTheme="minorHAnsi"/>
          <w:lang w:val="en-AU"/>
        </w:rPr>
        <w:t>Khoir</w:t>
      </w:r>
      <w:proofErr w:type="spellEnd"/>
      <w:r w:rsidR="00187E61" w:rsidRPr="005F00CB">
        <w:rPr>
          <w:rFonts w:eastAsiaTheme="minorHAnsi"/>
          <w:lang w:val="en-AU"/>
        </w:rPr>
        <w:t xml:space="preserve">, Du, Davidson &amp; </w:t>
      </w:r>
      <w:proofErr w:type="spellStart"/>
      <w:r w:rsidR="00187E61" w:rsidRPr="005F00CB">
        <w:rPr>
          <w:rFonts w:eastAsiaTheme="minorHAnsi"/>
          <w:lang w:val="en-AU"/>
        </w:rPr>
        <w:t>Koronios</w:t>
      </w:r>
      <w:proofErr w:type="spellEnd"/>
      <w:r w:rsidR="00187E61" w:rsidRPr="005F00CB">
        <w:rPr>
          <w:rFonts w:eastAsiaTheme="minorHAnsi"/>
          <w:lang w:val="en-AU"/>
        </w:rPr>
        <w:t xml:space="preserve"> 2017</w:t>
      </w:r>
      <w:r w:rsidR="00187E61">
        <w:rPr>
          <w:rFonts w:eastAsiaTheme="minorHAnsi"/>
          <w:lang w:val="en-AU"/>
        </w:rPr>
        <w:t>)</w:t>
      </w:r>
      <w:r w:rsidR="00187E61">
        <w:t>.</w:t>
      </w:r>
      <w:r>
        <w:t xml:space="preserve"> Study respondents with children used public libraries as a means of both entertaining and educating their children. It was also an opportunity to meet other parents and engage in natural interactions. Findings indicated that study participants were interested in building their own capacity through library resources. Immigrants in the study</w:t>
      </w:r>
      <w:r w:rsidRPr="005F00CB">
        <w:t xml:space="preserve"> were confident that using library services would enhance their English language skills and digital capability </w:t>
      </w:r>
      <w:r>
        <w:t>as well as preserve</w:t>
      </w:r>
      <w:r w:rsidRPr="005F00CB">
        <w:t xml:space="preserve"> their first language</w:t>
      </w:r>
      <w:r>
        <w:t xml:space="preserve"> and relationship with their home country through access to resources in their original language. (Similar findings were made </w:t>
      </w:r>
      <w:r w:rsidR="00187E61">
        <w:t xml:space="preserve">in Norway </w:t>
      </w:r>
      <w:r>
        <w:t xml:space="preserve">by </w:t>
      </w:r>
      <w:proofErr w:type="spellStart"/>
      <w:r w:rsidRPr="005F00CB">
        <w:t>Audunson</w:t>
      </w:r>
      <w:proofErr w:type="spellEnd"/>
      <w:r w:rsidRPr="005F00CB">
        <w:t xml:space="preserve">, </w:t>
      </w:r>
      <w:proofErr w:type="spellStart"/>
      <w:r w:rsidRPr="005F00CB">
        <w:t>Essmat</w:t>
      </w:r>
      <w:proofErr w:type="spellEnd"/>
      <w:r w:rsidRPr="005F00CB">
        <w:t xml:space="preserve"> &amp; </w:t>
      </w:r>
      <w:proofErr w:type="spellStart"/>
      <w:r w:rsidRPr="005F00CB">
        <w:t>Aabø</w:t>
      </w:r>
      <w:proofErr w:type="spellEnd"/>
      <w:r w:rsidRPr="005F00CB">
        <w:t xml:space="preserve"> </w:t>
      </w:r>
      <w:r>
        <w:t>(</w:t>
      </w:r>
      <w:r w:rsidRPr="005F00CB">
        <w:t>2011</w:t>
      </w:r>
      <w:r>
        <w:t>)). The study also found that there were high, and largely unmet</w:t>
      </w:r>
      <w:r w:rsidR="00E56796">
        <w:t>,</w:t>
      </w:r>
      <w:r>
        <w:t xml:space="preserve"> expectations that public libraries would support migrants to obtain training skills related to employment. Study participants expected to form new friendship</w:t>
      </w:r>
      <w:r w:rsidR="00E56796">
        <w:t>s</w:t>
      </w:r>
      <w:r>
        <w:t xml:space="preserve"> and to have the opportunity to mix with locals (Australians) </w:t>
      </w:r>
      <w:r w:rsidRPr="005F00CB">
        <w:t xml:space="preserve">through </w:t>
      </w:r>
      <w:r>
        <w:t>social interaction</w:t>
      </w:r>
      <w:r w:rsidRPr="005F00CB">
        <w:t xml:space="preserve"> in library programs</w:t>
      </w:r>
      <w:r>
        <w:t xml:space="preserve"> in order to build linkages that are important for successful settlement (</w:t>
      </w:r>
      <w:proofErr w:type="spellStart"/>
      <w:r w:rsidRPr="005F00CB">
        <w:rPr>
          <w:rFonts w:eastAsiaTheme="minorHAnsi"/>
          <w:lang w:val="en-AU"/>
        </w:rPr>
        <w:t>Khoir</w:t>
      </w:r>
      <w:proofErr w:type="spellEnd"/>
      <w:r w:rsidRPr="005F00CB">
        <w:rPr>
          <w:rFonts w:eastAsiaTheme="minorHAnsi"/>
          <w:lang w:val="en-AU"/>
        </w:rPr>
        <w:t xml:space="preserve">, Du, Davidson &amp; </w:t>
      </w:r>
      <w:proofErr w:type="spellStart"/>
      <w:r w:rsidRPr="005F00CB">
        <w:rPr>
          <w:rFonts w:eastAsiaTheme="minorHAnsi"/>
          <w:lang w:val="en-AU"/>
        </w:rPr>
        <w:t>Koronios</w:t>
      </w:r>
      <w:proofErr w:type="spellEnd"/>
      <w:r w:rsidRPr="005F00CB">
        <w:rPr>
          <w:rFonts w:eastAsiaTheme="minorHAnsi"/>
          <w:lang w:val="en-AU"/>
        </w:rPr>
        <w:t xml:space="preserve"> 2017</w:t>
      </w:r>
      <w:r>
        <w:rPr>
          <w:rFonts w:eastAsiaTheme="minorHAnsi"/>
          <w:lang w:val="en-AU"/>
        </w:rPr>
        <w:t xml:space="preserve">). </w:t>
      </w:r>
    </w:p>
    <w:p w14:paraId="0D75313A" w14:textId="30D741DD" w:rsidR="001B050C" w:rsidRPr="00204671" w:rsidRDefault="000147D3" w:rsidP="00104C14">
      <w:pPr>
        <w:spacing w:before="240" w:line="276" w:lineRule="auto"/>
        <w:jc w:val="both"/>
      </w:pPr>
      <w:r>
        <w:rPr>
          <w:rFonts w:eastAsiaTheme="minorHAnsi"/>
          <w:b/>
          <w:i/>
          <w:lang w:val="en-AU"/>
        </w:rPr>
        <w:t>Highlighting h</w:t>
      </w:r>
      <w:r w:rsidR="001B050C" w:rsidRPr="00624E5A">
        <w:rPr>
          <w:rFonts w:eastAsiaTheme="minorHAnsi"/>
          <w:b/>
          <w:i/>
          <w:lang w:val="en-AU"/>
        </w:rPr>
        <w:t>omeless</w:t>
      </w:r>
      <w:r w:rsidR="001B050C">
        <w:rPr>
          <w:rFonts w:eastAsiaTheme="minorHAnsi"/>
          <w:b/>
          <w:i/>
          <w:lang w:val="en-AU"/>
        </w:rPr>
        <w:t>ness</w:t>
      </w:r>
      <w:r w:rsidR="001B050C" w:rsidRPr="00624E5A">
        <w:rPr>
          <w:rFonts w:eastAsiaTheme="minorHAnsi"/>
          <w:b/>
          <w:i/>
          <w:lang w:val="en-AU"/>
        </w:rPr>
        <w:t>:</w:t>
      </w:r>
      <w:r w:rsidR="001B050C">
        <w:rPr>
          <w:rFonts w:eastAsiaTheme="minorHAnsi"/>
          <w:b/>
          <w:i/>
          <w:lang w:val="en-AU"/>
        </w:rPr>
        <w:t xml:space="preserve"> </w:t>
      </w:r>
      <w:r w:rsidR="001B050C" w:rsidRPr="00204671">
        <w:rPr>
          <w:rFonts w:eastAsiaTheme="minorHAnsi"/>
          <w:lang w:val="en-AU"/>
        </w:rPr>
        <w:t>A qualitative study</w:t>
      </w:r>
      <w:r w:rsidR="00187E61">
        <w:rPr>
          <w:rFonts w:eastAsiaTheme="minorHAnsi"/>
          <w:lang w:val="en-AU"/>
        </w:rPr>
        <w:t xml:space="preserve"> from Canada</w:t>
      </w:r>
      <w:r w:rsidR="001B050C" w:rsidRPr="00204671">
        <w:rPr>
          <w:rFonts w:eastAsiaTheme="minorHAnsi"/>
          <w:lang w:val="en-AU"/>
        </w:rPr>
        <w:t xml:space="preserve"> </w:t>
      </w:r>
      <w:r w:rsidR="001B050C">
        <w:rPr>
          <w:rFonts w:eastAsiaTheme="minorHAnsi"/>
          <w:lang w:val="en-AU"/>
        </w:rPr>
        <w:t xml:space="preserve">involving library staff and management examines the introduction of a library policy preventing homeless people from dossing in the library. Neoliberal </w:t>
      </w:r>
      <w:r w:rsidR="00E56796">
        <w:rPr>
          <w:rFonts w:eastAsiaTheme="minorHAnsi"/>
          <w:lang w:val="en-AU"/>
        </w:rPr>
        <w:t xml:space="preserve">policy </w:t>
      </w:r>
      <w:r w:rsidR="001B050C">
        <w:rPr>
          <w:rFonts w:eastAsiaTheme="minorHAnsi"/>
          <w:lang w:val="en-AU"/>
        </w:rPr>
        <w:t>shift</w:t>
      </w:r>
      <w:r w:rsidR="00E56796">
        <w:rPr>
          <w:rFonts w:eastAsiaTheme="minorHAnsi"/>
          <w:lang w:val="en-AU"/>
        </w:rPr>
        <w:t>s</w:t>
      </w:r>
      <w:r w:rsidR="001B050C">
        <w:rPr>
          <w:rFonts w:eastAsiaTheme="minorHAnsi"/>
          <w:lang w:val="en-AU"/>
        </w:rPr>
        <w:t xml:space="preserve"> </w:t>
      </w:r>
      <w:r w:rsidR="001B050C" w:rsidRPr="00204671">
        <w:rPr>
          <w:rFonts w:eastAsiaTheme="minorHAnsi"/>
          <w:lang w:val="en-AU"/>
        </w:rPr>
        <w:t xml:space="preserve">and economic </w:t>
      </w:r>
      <w:r w:rsidR="001B050C">
        <w:rPr>
          <w:rFonts w:eastAsiaTheme="minorHAnsi"/>
          <w:lang w:val="en-AU"/>
        </w:rPr>
        <w:t xml:space="preserve">downturns have led to a </w:t>
      </w:r>
      <w:r w:rsidR="001B050C" w:rsidRPr="00204671">
        <w:rPr>
          <w:rFonts w:eastAsiaTheme="minorHAnsi"/>
          <w:lang w:val="en-AU"/>
        </w:rPr>
        <w:t>homelessness crisis</w:t>
      </w:r>
      <w:r w:rsidR="001B050C">
        <w:rPr>
          <w:rFonts w:eastAsiaTheme="minorHAnsi"/>
          <w:lang w:val="en-AU"/>
        </w:rPr>
        <w:t xml:space="preserve"> which </w:t>
      </w:r>
      <w:r w:rsidR="00786985">
        <w:rPr>
          <w:rFonts w:eastAsiaTheme="minorHAnsi"/>
          <w:lang w:val="en-AU"/>
        </w:rPr>
        <w:t xml:space="preserve">has </w:t>
      </w:r>
      <w:r w:rsidR="001B050C">
        <w:rPr>
          <w:rFonts w:eastAsiaTheme="minorHAnsi"/>
          <w:lang w:val="en-AU"/>
        </w:rPr>
        <w:t>impact</w:t>
      </w:r>
      <w:r w:rsidR="00786985">
        <w:rPr>
          <w:rFonts w:eastAsiaTheme="minorHAnsi"/>
          <w:lang w:val="en-AU"/>
        </w:rPr>
        <w:t>ed</w:t>
      </w:r>
      <w:r w:rsidR="001B050C">
        <w:rPr>
          <w:rFonts w:eastAsiaTheme="minorHAnsi"/>
          <w:lang w:val="en-AU"/>
        </w:rPr>
        <w:t xml:space="preserve"> upon the library as a public institution in an urban environment</w:t>
      </w:r>
      <w:r w:rsidR="001B050C" w:rsidRPr="00204671">
        <w:rPr>
          <w:rFonts w:eastAsiaTheme="minorHAnsi"/>
          <w:lang w:val="en-AU"/>
        </w:rPr>
        <w:t xml:space="preserve">. </w:t>
      </w:r>
      <w:r w:rsidR="001B050C">
        <w:rPr>
          <w:rFonts w:eastAsiaTheme="minorHAnsi"/>
          <w:lang w:val="en-AU"/>
        </w:rPr>
        <w:t>The paper highlight</w:t>
      </w:r>
      <w:r w:rsidR="00E56796">
        <w:rPr>
          <w:rFonts w:eastAsiaTheme="minorHAnsi"/>
          <w:lang w:val="en-AU"/>
        </w:rPr>
        <w:t>s</w:t>
      </w:r>
      <w:r w:rsidR="001B050C">
        <w:rPr>
          <w:rFonts w:eastAsiaTheme="minorHAnsi"/>
          <w:lang w:val="en-AU"/>
        </w:rPr>
        <w:t xml:space="preserve"> the complex role of state agents (librarians/library boards) in navigating private behaviour occurring in a public space (Freeman &amp; Bromley 2018). </w:t>
      </w:r>
    </w:p>
    <w:p w14:paraId="63EE3930" w14:textId="77777777" w:rsidR="001B050C" w:rsidRPr="00204671" w:rsidRDefault="001B050C" w:rsidP="00104C14">
      <w:pPr>
        <w:spacing w:line="276" w:lineRule="auto"/>
        <w:jc w:val="both"/>
      </w:pPr>
    </w:p>
    <w:p w14:paraId="4514CC57" w14:textId="4D068C0F" w:rsidR="001B050C" w:rsidRDefault="000147D3" w:rsidP="00104C14">
      <w:pPr>
        <w:spacing w:line="276" w:lineRule="auto"/>
        <w:jc w:val="both"/>
        <w:rPr>
          <w:rFonts w:eastAsia="Calibri"/>
          <w:lang w:val="en-AU"/>
        </w:rPr>
      </w:pPr>
      <w:r>
        <w:rPr>
          <w:b/>
          <w:i/>
        </w:rPr>
        <w:lastRenderedPageBreak/>
        <w:t>Embracing m</w:t>
      </w:r>
      <w:r w:rsidR="001B050C">
        <w:rPr>
          <w:b/>
          <w:i/>
        </w:rPr>
        <w:t>ulticulturalism</w:t>
      </w:r>
      <w:r w:rsidR="001B050C" w:rsidRPr="00624E5A">
        <w:rPr>
          <w:b/>
          <w:i/>
        </w:rPr>
        <w:t>:</w:t>
      </w:r>
      <w:r w:rsidR="001B050C">
        <w:t xml:space="preserve"> </w:t>
      </w:r>
      <w:r w:rsidR="00786985">
        <w:t>In a qualitative study</w:t>
      </w:r>
      <w:r w:rsidR="00187E61">
        <w:t xml:space="preserve"> from the UK</w:t>
      </w:r>
      <w:r w:rsidR="00786985">
        <w:t xml:space="preserve">, it was found that patrons </w:t>
      </w:r>
      <w:r w:rsidR="001B050C">
        <w:t xml:space="preserve">considered </w:t>
      </w:r>
      <w:r w:rsidR="00786985">
        <w:t xml:space="preserve">the libraries as </w:t>
      </w:r>
      <w:r w:rsidR="001B050C">
        <w:t>safe and highly valued for their inclusivity and diversity, allowing for interaction among a broad mix of users (</w:t>
      </w:r>
      <w:r w:rsidR="001B050C" w:rsidRPr="00B60722">
        <w:rPr>
          <w:rFonts w:eastAsia="Calibri"/>
          <w:lang w:val="en-AU"/>
        </w:rPr>
        <w:t>Appleton</w:t>
      </w:r>
      <w:r w:rsidR="001B050C">
        <w:rPr>
          <w:rFonts w:eastAsia="Calibri"/>
          <w:lang w:val="en-AU"/>
        </w:rPr>
        <w:t xml:space="preserve">, Hall, Duff &amp; </w:t>
      </w:r>
      <w:proofErr w:type="spellStart"/>
      <w:r w:rsidR="001B050C">
        <w:rPr>
          <w:rFonts w:eastAsia="Calibri"/>
          <w:lang w:val="en-AU"/>
        </w:rPr>
        <w:t>Raeside</w:t>
      </w:r>
      <w:proofErr w:type="spellEnd"/>
      <w:r w:rsidR="001B050C">
        <w:rPr>
          <w:rFonts w:eastAsia="Calibri"/>
          <w:lang w:val="en-AU"/>
        </w:rPr>
        <w:t xml:space="preserve">, </w:t>
      </w:r>
      <w:r w:rsidR="001B050C" w:rsidRPr="00B60722">
        <w:rPr>
          <w:rFonts w:eastAsia="Calibri"/>
          <w:lang w:val="en-AU"/>
        </w:rPr>
        <w:t>2018</w:t>
      </w:r>
      <w:r w:rsidR="001B050C">
        <w:rPr>
          <w:rFonts w:eastAsia="Calibri"/>
          <w:lang w:val="en-AU"/>
        </w:rPr>
        <w:t>).</w:t>
      </w:r>
    </w:p>
    <w:p w14:paraId="49F000A5" w14:textId="683DF5AB" w:rsidR="001B050C" w:rsidRDefault="001B050C" w:rsidP="00104C14">
      <w:pPr>
        <w:spacing w:line="276" w:lineRule="auto"/>
        <w:jc w:val="both"/>
        <w:rPr>
          <w:rFonts w:eastAsia="Calibri"/>
          <w:lang w:val="en-AU"/>
        </w:rPr>
      </w:pPr>
    </w:p>
    <w:p w14:paraId="124B4D5F" w14:textId="0F37EDF3" w:rsidR="00532E27" w:rsidRDefault="00532E27" w:rsidP="00104C14">
      <w:pPr>
        <w:spacing w:line="276" w:lineRule="auto"/>
        <w:jc w:val="both"/>
        <w:rPr>
          <w:rFonts w:eastAsiaTheme="minorHAnsi"/>
          <w:lang w:val="en-AU"/>
        </w:rPr>
      </w:pPr>
      <w:r>
        <w:rPr>
          <w:rFonts w:eastAsiaTheme="minorHAnsi"/>
          <w:b/>
          <w:i/>
          <w:lang w:val="en-AU"/>
        </w:rPr>
        <w:t>Addressing</w:t>
      </w:r>
      <w:r w:rsidRPr="007350B3">
        <w:rPr>
          <w:rFonts w:eastAsiaTheme="minorHAnsi"/>
          <w:b/>
          <w:i/>
          <w:lang w:val="en-AU"/>
        </w:rPr>
        <w:t xml:space="preserve"> digital exclusion</w:t>
      </w:r>
      <w:r>
        <w:rPr>
          <w:rFonts w:eastAsiaTheme="minorHAnsi"/>
          <w:lang w:val="en-AU"/>
        </w:rPr>
        <w:t xml:space="preserve">: Libraries serve as a major public outlet for free Internet and assistance for people with no access, insufficient access or insufficient digital literacy. Online </w:t>
      </w:r>
      <w:r>
        <w:t xml:space="preserve">experiences of participants in a small </w:t>
      </w:r>
      <w:r w:rsidR="00187E61">
        <w:t xml:space="preserve">Australian </w:t>
      </w:r>
      <w:r>
        <w:t xml:space="preserve">qualitative study </w:t>
      </w:r>
      <w:r>
        <w:rPr>
          <w:rFonts w:eastAsiaTheme="minorHAnsi"/>
          <w:lang w:val="en-AU"/>
        </w:rPr>
        <w:t>highlight the ‘</w:t>
      </w:r>
      <w:r w:rsidRPr="002F7F8D">
        <w:rPr>
          <w:rFonts w:eastAsiaTheme="minorHAnsi"/>
          <w:lang w:val="en-AU"/>
        </w:rPr>
        <w:t>digital vicious circle</w:t>
      </w:r>
      <w:r>
        <w:rPr>
          <w:rFonts w:eastAsiaTheme="minorHAnsi"/>
          <w:lang w:val="en-AU"/>
        </w:rPr>
        <w:t>’</w:t>
      </w:r>
      <w:r w:rsidRPr="002F7F8D">
        <w:rPr>
          <w:rFonts w:eastAsiaTheme="minorHAnsi"/>
          <w:lang w:val="en-AU"/>
        </w:rPr>
        <w:t xml:space="preserve">, where individuals experiencing socioeconomic disadvantage </w:t>
      </w:r>
      <w:r>
        <w:rPr>
          <w:rFonts w:eastAsiaTheme="minorHAnsi"/>
          <w:lang w:val="en-AU"/>
        </w:rPr>
        <w:t xml:space="preserve">and </w:t>
      </w:r>
      <w:r w:rsidRPr="002F7F8D">
        <w:rPr>
          <w:rFonts w:eastAsiaTheme="minorHAnsi"/>
          <w:lang w:val="en-AU"/>
        </w:rPr>
        <w:t>in need of assistance from government</w:t>
      </w:r>
      <w:r>
        <w:rPr>
          <w:rFonts w:eastAsiaTheme="minorHAnsi"/>
          <w:lang w:val="en-AU"/>
        </w:rPr>
        <w:t xml:space="preserve"> and non-government institutions </w:t>
      </w:r>
      <w:r w:rsidRPr="002F7F8D">
        <w:rPr>
          <w:rFonts w:eastAsiaTheme="minorHAnsi"/>
          <w:lang w:val="en-AU"/>
        </w:rPr>
        <w:t xml:space="preserve">have the least </w:t>
      </w:r>
      <w:r>
        <w:rPr>
          <w:rFonts w:eastAsiaTheme="minorHAnsi"/>
          <w:lang w:val="en-AU"/>
        </w:rPr>
        <w:t xml:space="preserve">knowledge and </w:t>
      </w:r>
      <w:r w:rsidRPr="002F7F8D">
        <w:rPr>
          <w:rFonts w:eastAsiaTheme="minorHAnsi"/>
          <w:lang w:val="en-AU"/>
        </w:rPr>
        <w:t>access</w:t>
      </w:r>
      <w:r>
        <w:rPr>
          <w:rFonts w:eastAsiaTheme="minorHAnsi"/>
          <w:lang w:val="en-AU"/>
        </w:rPr>
        <w:t xml:space="preserve">. Information professionals such as library staff with an understanding of the complexities of socioeconomic disadvantage can improve the online experience of library users (Smeaton, Bruce, </w:t>
      </w:r>
      <w:proofErr w:type="gramStart"/>
      <w:r>
        <w:rPr>
          <w:rFonts w:eastAsiaTheme="minorHAnsi"/>
          <w:lang w:val="en-AU"/>
        </w:rPr>
        <w:t>Hughes</w:t>
      </w:r>
      <w:proofErr w:type="gramEnd"/>
      <w:r>
        <w:rPr>
          <w:rFonts w:eastAsiaTheme="minorHAnsi"/>
          <w:lang w:val="en-AU"/>
        </w:rPr>
        <w:t xml:space="preserve"> &amp; Davis 2017). </w:t>
      </w:r>
    </w:p>
    <w:p w14:paraId="17558805" w14:textId="77777777" w:rsidR="001B050C" w:rsidRDefault="001B050C" w:rsidP="00104C14">
      <w:pPr>
        <w:spacing w:line="276" w:lineRule="auto"/>
        <w:jc w:val="both"/>
        <w:rPr>
          <w:rFonts w:eastAsia="Calibri"/>
          <w:lang w:val="en-AU"/>
        </w:rPr>
      </w:pPr>
    </w:p>
    <w:p w14:paraId="4A1B6704" w14:textId="77777777" w:rsidR="00570FC7" w:rsidRDefault="00570FC7" w:rsidP="00104C14">
      <w:pPr>
        <w:spacing w:line="276" w:lineRule="auto"/>
        <w:jc w:val="both"/>
        <w:rPr>
          <w:rFonts w:eastAsia="Calibri"/>
          <w:lang w:val="en-AU"/>
        </w:rPr>
      </w:pPr>
    </w:p>
    <w:p w14:paraId="5F294C12" w14:textId="77777777" w:rsidR="001B050C" w:rsidRPr="001B050C" w:rsidRDefault="001B050C" w:rsidP="00104C14">
      <w:pPr>
        <w:pStyle w:val="ListParagraph"/>
        <w:numPr>
          <w:ilvl w:val="0"/>
          <w:numId w:val="31"/>
        </w:numPr>
        <w:tabs>
          <w:tab w:val="left" w:pos="4794"/>
        </w:tabs>
        <w:kinsoku w:val="0"/>
        <w:overflowPunct w:val="0"/>
        <w:autoSpaceDE w:val="0"/>
        <w:autoSpaceDN w:val="0"/>
        <w:adjustRightInd w:val="0"/>
        <w:spacing w:line="276" w:lineRule="auto"/>
        <w:jc w:val="both"/>
        <w:rPr>
          <w:rFonts w:eastAsiaTheme="minorHAnsi"/>
          <w:b/>
          <w:sz w:val="28"/>
          <w:szCs w:val="28"/>
          <w:lang w:val="en-AU"/>
        </w:rPr>
      </w:pPr>
      <w:r w:rsidRPr="001B050C">
        <w:rPr>
          <w:rFonts w:eastAsiaTheme="minorHAnsi"/>
          <w:b/>
          <w:sz w:val="28"/>
          <w:szCs w:val="28"/>
          <w:lang w:val="en-AU"/>
        </w:rPr>
        <w:t>Cultural centres and public spaces</w:t>
      </w:r>
    </w:p>
    <w:p w14:paraId="4E582EAC" w14:textId="77777777" w:rsidR="001B050C" w:rsidRDefault="001B050C" w:rsidP="00104C14">
      <w:pPr>
        <w:spacing w:line="276" w:lineRule="auto"/>
        <w:jc w:val="both"/>
      </w:pPr>
    </w:p>
    <w:p w14:paraId="0D3FE4FA" w14:textId="2D63C135" w:rsidR="00814C4C" w:rsidRDefault="00690C78" w:rsidP="00104C14">
      <w:pPr>
        <w:spacing w:line="276" w:lineRule="auto"/>
        <w:jc w:val="both"/>
      </w:pPr>
      <w:r>
        <w:t>A small number of</w:t>
      </w:r>
      <w:r w:rsidR="00C74C63">
        <w:t xml:space="preserve"> contributions </w:t>
      </w:r>
      <w:r>
        <w:t xml:space="preserve">discuss the </w:t>
      </w:r>
      <w:r w:rsidR="00C74C63">
        <w:t xml:space="preserve">cultural uses of </w:t>
      </w:r>
      <w:r w:rsidR="00667E75">
        <w:t>libraries</w:t>
      </w:r>
      <w:r w:rsidR="00C74C63">
        <w:t xml:space="preserve"> as public space</w:t>
      </w:r>
      <w:r>
        <w:t xml:space="preserve"> or </w:t>
      </w:r>
      <w:r w:rsidR="00667E75">
        <w:t xml:space="preserve">public </w:t>
      </w:r>
      <w:r>
        <w:t>institution</w:t>
      </w:r>
      <w:r w:rsidR="00667E75">
        <w:t>s</w:t>
      </w:r>
      <w:r>
        <w:t xml:space="preserve">, however there is little </w:t>
      </w:r>
      <w:r w:rsidR="00796F2A">
        <w:t>a</w:t>
      </w:r>
      <w:r>
        <w:t>ddress</w:t>
      </w:r>
      <w:r w:rsidR="00374035">
        <w:t>ing</w:t>
      </w:r>
      <w:r>
        <w:t xml:space="preserve"> the valuing of National or State libraries</w:t>
      </w:r>
      <w:r w:rsidR="00796F2A">
        <w:t xml:space="preserve"> specifically</w:t>
      </w:r>
      <w:r w:rsidR="00814C4C">
        <w:t>.</w:t>
      </w:r>
    </w:p>
    <w:p w14:paraId="1B3F8FFA" w14:textId="77777777" w:rsidR="00814C4C" w:rsidRDefault="00814C4C" w:rsidP="00104C14">
      <w:pPr>
        <w:spacing w:line="276" w:lineRule="auto"/>
        <w:jc w:val="both"/>
      </w:pPr>
    </w:p>
    <w:p w14:paraId="560B7ABF" w14:textId="4BC32F68" w:rsidR="00690C78" w:rsidRPr="008D4EED" w:rsidRDefault="001B050C" w:rsidP="00104C14">
      <w:pPr>
        <w:spacing w:line="276" w:lineRule="auto"/>
        <w:jc w:val="both"/>
      </w:pPr>
      <w:r>
        <w:rPr>
          <w:b/>
          <w:i/>
        </w:rPr>
        <w:t xml:space="preserve">Valuing libraries as unique </w:t>
      </w:r>
      <w:r w:rsidRPr="00BA7F00">
        <w:rPr>
          <w:b/>
          <w:i/>
        </w:rPr>
        <w:t>public space</w:t>
      </w:r>
      <w:r>
        <w:rPr>
          <w:b/>
          <w:i/>
        </w:rPr>
        <w:t>s</w:t>
      </w:r>
      <w:r w:rsidRPr="00BA7F00">
        <w:rPr>
          <w:b/>
          <w:i/>
        </w:rPr>
        <w:t>:</w:t>
      </w:r>
      <w:r>
        <w:rPr>
          <w:b/>
          <w:i/>
        </w:rPr>
        <w:t xml:space="preserve"> </w:t>
      </w:r>
      <w:r w:rsidRPr="008D4EED">
        <w:t xml:space="preserve">Barclay (2017) examines the social worth of library space, particularly its under-examined contribution to the public sphere. </w:t>
      </w:r>
      <w:r w:rsidR="0034584F">
        <w:t xml:space="preserve">His review concludes that </w:t>
      </w:r>
      <w:r w:rsidR="00187E61">
        <w:t>‘</w:t>
      </w:r>
      <w:r w:rsidR="0034584F">
        <w:t xml:space="preserve">public libraries </w:t>
      </w:r>
      <w:r w:rsidR="0034584F" w:rsidRPr="009D70DA">
        <w:t xml:space="preserve">are </w:t>
      </w:r>
      <w:r w:rsidR="0034584F">
        <w:t xml:space="preserve">perhaps </w:t>
      </w:r>
      <w:r w:rsidR="0034584F" w:rsidRPr="009D70DA">
        <w:t xml:space="preserve">one of the </w:t>
      </w:r>
      <w:r w:rsidR="0034584F">
        <w:t>last</w:t>
      </w:r>
      <w:r w:rsidR="0034584F" w:rsidRPr="009D70DA">
        <w:t xml:space="preserve"> remaining indoor public spaces where an individual can remain from opening </w:t>
      </w:r>
      <w:r w:rsidR="0034584F">
        <w:t>until</w:t>
      </w:r>
      <w:r w:rsidR="0034584F" w:rsidRPr="009D70DA">
        <w:t xml:space="preserve"> closing without </w:t>
      </w:r>
      <w:r w:rsidR="0034584F">
        <w:t xml:space="preserve">needing any </w:t>
      </w:r>
      <w:r w:rsidR="0034584F" w:rsidRPr="009D70DA">
        <w:t>reason</w:t>
      </w:r>
      <w:r w:rsidR="0034584F">
        <w:t xml:space="preserve"> to be there</w:t>
      </w:r>
      <w:r w:rsidR="0034584F" w:rsidRPr="009D70DA">
        <w:t xml:space="preserve"> and without </w:t>
      </w:r>
      <w:r w:rsidR="00C74C63">
        <w:t xml:space="preserve">having to </w:t>
      </w:r>
      <w:r w:rsidR="0034584F" w:rsidRPr="009D70DA">
        <w:t>spend</w:t>
      </w:r>
      <w:r w:rsidR="0034584F">
        <w:t xml:space="preserve"> any</w:t>
      </w:r>
      <w:r w:rsidR="0034584F" w:rsidRPr="009D70DA">
        <w:t xml:space="preserve"> money</w:t>
      </w:r>
      <w:r w:rsidR="00187E61">
        <w:t>’</w:t>
      </w:r>
      <w:r w:rsidR="00667E75">
        <w:t xml:space="preserve"> </w:t>
      </w:r>
      <w:r w:rsidR="0034584F">
        <w:t>(2017, p.</w:t>
      </w:r>
      <w:r w:rsidR="00C74C63">
        <w:t xml:space="preserve"> 271)</w:t>
      </w:r>
      <w:r w:rsidR="0034584F" w:rsidRPr="009D70DA">
        <w:t>.</w:t>
      </w:r>
      <w:r w:rsidRPr="008D4EED">
        <w:t xml:space="preserve"> </w:t>
      </w:r>
      <w:r w:rsidR="00690C78">
        <w:t xml:space="preserve">Van de Pas (2014) also </w:t>
      </w:r>
      <w:r w:rsidR="00667E75">
        <w:t xml:space="preserve">identifies </w:t>
      </w:r>
      <w:r w:rsidR="00690C78">
        <w:t xml:space="preserve">the public library as one </w:t>
      </w:r>
      <w:r w:rsidR="00570FC7">
        <w:t xml:space="preserve">of the last true public areas, </w:t>
      </w:r>
      <w:r w:rsidR="00187E61">
        <w:t>‘</w:t>
      </w:r>
      <w:r w:rsidR="00690C78">
        <w:t>open to all for the benefit of the comm</w:t>
      </w:r>
      <w:r w:rsidR="00570FC7">
        <w:t>unity</w:t>
      </w:r>
      <w:r w:rsidR="00187E61">
        <w:t>’</w:t>
      </w:r>
      <w:r w:rsidR="00690C78">
        <w:t xml:space="preserve">. These </w:t>
      </w:r>
      <w:r w:rsidR="00667E75">
        <w:t>contributors</w:t>
      </w:r>
      <w:r w:rsidR="00690C78">
        <w:t xml:space="preserve"> conclude that p</w:t>
      </w:r>
      <w:r w:rsidRPr="008D4EED">
        <w:t xml:space="preserve">ublic libraries </w:t>
      </w:r>
      <w:r>
        <w:t>need to</w:t>
      </w:r>
      <w:r w:rsidRPr="008D4EED">
        <w:t xml:space="preserve"> preserve and promote this uniqueness while continuing to make these spaces publicly available.  </w:t>
      </w:r>
    </w:p>
    <w:p w14:paraId="29299001" w14:textId="77777777" w:rsidR="001B050C" w:rsidRDefault="001B050C" w:rsidP="00104C14">
      <w:pPr>
        <w:spacing w:line="276" w:lineRule="auto"/>
        <w:jc w:val="both"/>
        <w:rPr>
          <w:rStyle w:val="Strong"/>
          <w:b w:val="0"/>
          <w:color w:val="000000"/>
        </w:rPr>
      </w:pPr>
    </w:p>
    <w:p w14:paraId="40B4F80A" w14:textId="67ABEC66" w:rsidR="0060035E" w:rsidRPr="00514EC2" w:rsidRDefault="0060035E" w:rsidP="00104C14">
      <w:pPr>
        <w:spacing w:line="276" w:lineRule="auto"/>
        <w:jc w:val="both"/>
      </w:pPr>
      <w:r w:rsidRPr="0060035E">
        <w:rPr>
          <w:rStyle w:val="Strong"/>
          <w:i/>
          <w:color w:val="000000"/>
        </w:rPr>
        <w:t>Valuing National and State libraries</w:t>
      </w:r>
      <w:r>
        <w:rPr>
          <w:rStyle w:val="Strong"/>
          <w:i/>
          <w:color w:val="000000"/>
        </w:rPr>
        <w:t xml:space="preserve">: </w:t>
      </w:r>
      <w:r w:rsidRPr="00514EC2">
        <w:t xml:space="preserve">There are few published analytical studies that explore the specific value or contributions of National or State libraries, in Australia </w:t>
      </w:r>
      <w:r w:rsidR="00E56796">
        <w:t>or</w:t>
      </w:r>
      <w:r w:rsidR="00E56796" w:rsidRPr="00514EC2">
        <w:t xml:space="preserve"> </w:t>
      </w:r>
      <w:r w:rsidRPr="00514EC2">
        <w:t>elsewhere. Hallam,</w:t>
      </w:r>
      <w:r w:rsidRPr="00514EC2">
        <w:rPr>
          <w:lang w:val="en-AU"/>
        </w:rPr>
        <w:t xml:space="preserve"> </w:t>
      </w:r>
      <w:proofErr w:type="spellStart"/>
      <w:r w:rsidRPr="00514EC2">
        <w:rPr>
          <w:lang w:val="en-AU"/>
        </w:rPr>
        <w:t>Hiskens</w:t>
      </w:r>
      <w:proofErr w:type="spellEnd"/>
      <w:r w:rsidRPr="00514EC2">
        <w:t xml:space="preserve"> and Ong (2015) outline the </w:t>
      </w:r>
      <w:proofErr w:type="spellStart"/>
      <w:r w:rsidRPr="00514EC2">
        <w:t>conceptualisation</w:t>
      </w:r>
      <w:proofErr w:type="spellEnd"/>
      <w:r w:rsidRPr="00514EC2">
        <w:t xml:space="preserve"> of a ‘mature framework’ for learning </w:t>
      </w:r>
      <w:proofErr w:type="spellStart"/>
      <w:r w:rsidRPr="00514EC2">
        <w:t>organisations</w:t>
      </w:r>
      <w:proofErr w:type="spellEnd"/>
      <w:r w:rsidRPr="00514EC2">
        <w:t xml:space="preserve"> aimed at measuring the value of National and State Libraries Australasia (NSLA) literacy and learning programs. There are as yet no published </w:t>
      </w:r>
      <w:r w:rsidR="00E56796">
        <w:t xml:space="preserve">studies or </w:t>
      </w:r>
      <w:r w:rsidRPr="00514EC2">
        <w:t>critique</w:t>
      </w:r>
      <w:r w:rsidR="00E56796">
        <w:t>s</w:t>
      </w:r>
      <w:r w:rsidRPr="00514EC2">
        <w:t xml:space="preserve"> of associated framework outcomes. However, the implementation of the Western Australian State Library’s early literacy programs </w:t>
      </w:r>
      <w:r w:rsidRPr="00514EC2">
        <w:rPr>
          <w:i/>
        </w:rPr>
        <w:t>Better Beginnings</w:t>
      </w:r>
      <w:r w:rsidRPr="00514EC2">
        <w:t xml:space="preserve"> and </w:t>
      </w:r>
      <w:r w:rsidRPr="00514EC2">
        <w:rPr>
          <w:i/>
        </w:rPr>
        <w:t>Growing Better Beginnings</w:t>
      </w:r>
      <w:r w:rsidRPr="00514EC2">
        <w:t xml:space="preserve"> are assessed in two peer-reviewed papers (Barrett-Pugh, Anderson &amp; North 2013; </w:t>
      </w:r>
      <w:r w:rsidRPr="00514EC2">
        <w:rPr>
          <w:rFonts w:eastAsia="Calibri"/>
          <w:bCs/>
          <w:lang w:val="en-AU"/>
        </w:rPr>
        <w:t>Barratt-Pugh &amp; Maloney 2015</w:t>
      </w:r>
      <w:r w:rsidRPr="00514EC2">
        <w:t xml:space="preserve">). These studies investigate both programs through interviewing librarians and teachers and surveying parents. Both papers </w:t>
      </w:r>
      <w:r w:rsidRPr="00514EC2">
        <w:lastRenderedPageBreak/>
        <w:t xml:space="preserve">acknowledged the important central role of SLWA in facilitating strong coordination and management of the </w:t>
      </w:r>
      <w:r w:rsidRPr="007C0416">
        <w:rPr>
          <w:i/>
        </w:rPr>
        <w:t>Better Beginning</w:t>
      </w:r>
      <w:r w:rsidR="00E56796">
        <w:rPr>
          <w:i/>
        </w:rPr>
        <w:t>s</w:t>
      </w:r>
      <w:r w:rsidRPr="00514EC2">
        <w:t xml:space="preserve"> suite of programs.   </w:t>
      </w:r>
    </w:p>
    <w:p w14:paraId="799C70DF" w14:textId="77777777" w:rsidR="0060035E" w:rsidRPr="00514EC2" w:rsidRDefault="0060035E" w:rsidP="00104C14">
      <w:pPr>
        <w:spacing w:line="276" w:lineRule="auto"/>
        <w:jc w:val="both"/>
        <w:rPr>
          <w:color w:val="000000"/>
          <w:lang w:val="en-AU"/>
        </w:rPr>
      </w:pPr>
    </w:p>
    <w:p w14:paraId="014EF5CF" w14:textId="3BF63DBB" w:rsidR="00567EC1" w:rsidRPr="009C3F4A" w:rsidRDefault="009C3F4A" w:rsidP="00104C14">
      <w:pPr>
        <w:spacing w:line="360" w:lineRule="auto"/>
        <w:jc w:val="both"/>
        <w:rPr>
          <w:b/>
          <w:color w:val="000000"/>
        </w:rPr>
      </w:pPr>
      <w:r w:rsidRPr="009C3F4A">
        <w:rPr>
          <w:b/>
          <w:color w:val="000000"/>
        </w:rPr>
        <w:t>Contextual factors</w:t>
      </w:r>
    </w:p>
    <w:p w14:paraId="3300E66F" w14:textId="77777777" w:rsidR="00647CD4" w:rsidRPr="00514EC2" w:rsidRDefault="00647CD4" w:rsidP="00104C14">
      <w:pPr>
        <w:spacing w:line="276" w:lineRule="auto"/>
        <w:jc w:val="both"/>
        <w:rPr>
          <w:b/>
          <w:color w:val="000000"/>
        </w:rPr>
      </w:pPr>
      <w:r w:rsidRPr="00514EC2">
        <w:rPr>
          <w:b/>
          <w:color w:val="000000"/>
        </w:rPr>
        <w:t>Potential</w:t>
      </w:r>
      <w:r>
        <w:rPr>
          <w:b/>
          <w:color w:val="000000"/>
        </w:rPr>
        <w:t xml:space="preserve"> future</w:t>
      </w:r>
      <w:r w:rsidRPr="00514EC2">
        <w:rPr>
          <w:b/>
          <w:color w:val="000000"/>
        </w:rPr>
        <w:t xml:space="preserve"> impacts on the State Library</w:t>
      </w:r>
    </w:p>
    <w:p w14:paraId="58AAA6A3" w14:textId="74B9507C" w:rsidR="00647CD4" w:rsidRPr="00647CD4" w:rsidRDefault="0012403E" w:rsidP="00104C14">
      <w:pPr>
        <w:spacing w:line="276" w:lineRule="auto"/>
        <w:jc w:val="both"/>
        <w:rPr>
          <w:b/>
        </w:rPr>
      </w:pPr>
      <w:r w:rsidRPr="00514EC2">
        <w:rPr>
          <w:lang w:val="en"/>
        </w:rPr>
        <w:t xml:space="preserve">Similar to other Australian cities, inner city living is increasingly popular, creating demand for housing in close proximity to employment </w:t>
      </w:r>
      <w:proofErr w:type="spellStart"/>
      <w:r w:rsidRPr="00514EC2">
        <w:rPr>
          <w:lang w:val="en"/>
        </w:rPr>
        <w:t>centres</w:t>
      </w:r>
      <w:proofErr w:type="spellEnd"/>
      <w:r w:rsidRPr="00514EC2">
        <w:rPr>
          <w:lang w:val="en"/>
        </w:rPr>
        <w:t xml:space="preserve">, entertainment and tertiary education institutions. </w:t>
      </w:r>
      <w:r>
        <w:rPr>
          <w:lang w:val="en"/>
        </w:rPr>
        <w:t xml:space="preserve">Efforts by the State Government and local universities to attract international student numbers are likely to see an increase in student accommodation in the Perth CBD.  Combined, these population increases will no doubt impact upon the extant facilities in the Perth city precinct, including SLWA. </w:t>
      </w:r>
      <w:r w:rsidR="00647CD4" w:rsidRPr="00514EC2">
        <w:t>It is projected that by 2050, 50,000 people will live in Perth CBD</w:t>
      </w:r>
      <w:r w:rsidR="00E56796">
        <w:t xml:space="preserve"> –</w:t>
      </w:r>
      <w:r w:rsidR="00647CD4" w:rsidRPr="00514EC2">
        <w:t xml:space="preserve"> the primary commercial, cultural and transport </w:t>
      </w:r>
      <w:proofErr w:type="spellStart"/>
      <w:r w:rsidR="00647CD4" w:rsidRPr="00514EC2">
        <w:t>centre</w:t>
      </w:r>
      <w:proofErr w:type="spellEnd"/>
      <w:r w:rsidR="00647CD4" w:rsidRPr="00514EC2">
        <w:t xml:space="preserve"> for the greater Perth metropolitan area (ABS 2016). Demographic profiling for this forecast include that an estimated 50</w:t>
      </w:r>
      <w:r w:rsidR="00647CD4">
        <w:t xml:space="preserve"> per cent</w:t>
      </w:r>
      <w:r w:rsidR="00647CD4" w:rsidRPr="00514EC2">
        <w:t xml:space="preserve"> will be overseas born, 32</w:t>
      </w:r>
      <w:r w:rsidR="00647CD4">
        <w:t xml:space="preserve"> per cent</w:t>
      </w:r>
      <w:r w:rsidR="00647CD4" w:rsidRPr="00514EC2">
        <w:t xml:space="preserve"> </w:t>
      </w:r>
      <w:r>
        <w:t xml:space="preserve">will </w:t>
      </w:r>
      <w:r w:rsidR="00647CD4" w:rsidRPr="00514EC2">
        <w:t>speak a language</w:t>
      </w:r>
      <w:r>
        <w:t xml:space="preserve"> other than English</w:t>
      </w:r>
      <w:r w:rsidR="00647CD4" w:rsidRPr="00514EC2">
        <w:t xml:space="preserve"> and 60</w:t>
      </w:r>
      <w:r w:rsidR="00647CD4">
        <w:t xml:space="preserve"> per cent </w:t>
      </w:r>
      <w:r w:rsidR="00647CD4" w:rsidRPr="00514EC2">
        <w:t>will get around without a car. By 2050, the predicted household composition in Perth CBD will be single person (40%), couples without dependents (34%) and couples with dependents (10%). These calculations assume development saturation by 2036, with the number of dwelling increasing from 10,621 in 2016 to 25,467 by 2050</w:t>
      </w:r>
      <w:r w:rsidR="00647CD4">
        <w:t xml:space="preserve"> (City of Perth 2019)</w:t>
      </w:r>
      <w:r w:rsidR="00647CD4" w:rsidRPr="00514EC2">
        <w:t xml:space="preserve">. </w:t>
      </w:r>
      <w:r w:rsidR="00647CD4" w:rsidRPr="00514EC2">
        <w:rPr>
          <w:lang w:val="en"/>
        </w:rPr>
        <w:t xml:space="preserve">The movement of young adults in and out of the Perth city dominates this projected migration profile. </w:t>
      </w:r>
    </w:p>
    <w:p w14:paraId="43707E01" w14:textId="77777777" w:rsidR="00571EE7" w:rsidRPr="00571EE7" w:rsidRDefault="00571EE7" w:rsidP="00104C14">
      <w:pPr>
        <w:spacing w:line="360" w:lineRule="auto"/>
        <w:jc w:val="both"/>
        <w:rPr>
          <w:b/>
          <w:color w:val="000000"/>
        </w:rPr>
      </w:pPr>
    </w:p>
    <w:p w14:paraId="7E72E700" w14:textId="77777777" w:rsidR="00733607" w:rsidRDefault="005B6A4A" w:rsidP="00104C14">
      <w:pPr>
        <w:spacing w:line="360" w:lineRule="auto"/>
        <w:jc w:val="both"/>
        <w:rPr>
          <w:b/>
          <w:color w:val="000000"/>
        </w:rPr>
      </w:pPr>
      <w:r w:rsidRPr="00CB50AC">
        <w:rPr>
          <w:b/>
          <w:color w:val="000000"/>
          <w:sz w:val="28"/>
          <w:szCs w:val="28"/>
        </w:rPr>
        <w:t xml:space="preserve">Conclusion </w:t>
      </w:r>
    </w:p>
    <w:p w14:paraId="15FB741C" w14:textId="2BA790E4" w:rsidR="00733607" w:rsidRDefault="00733607" w:rsidP="00104C14">
      <w:pPr>
        <w:spacing w:line="276" w:lineRule="auto"/>
        <w:jc w:val="both"/>
        <w:rPr>
          <w:color w:val="000000"/>
        </w:rPr>
      </w:pPr>
      <w:r>
        <w:rPr>
          <w:color w:val="000000"/>
        </w:rPr>
        <w:t xml:space="preserve">In conclusion, libraries are in general positively valued across the </w:t>
      </w:r>
      <w:r w:rsidR="008D19A6">
        <w:rPr>
          <w:color w:val="000000"/>
        </w:rPr>
        <w:t>literature</w:t>
      </w:r>
      <w:r>
        <w:rPr>
          <w:color w:val="000000"/>
        </w:rPr>
        <w:t xml:space="preserve">, particularly in studies which sought engagement with libraries users.  Findings from </w:t>
      </w:r>
      <w:r w:rsidR="005D7D81">
        <w:rPr>
          <w:color w:val="000000"/>
        </w:rPr>
        <w:t xml:space="preserve">a qualitative study by </w:t>
      </w:r>
      <w:proofErr w:type="spellStart"/>
      <w:r w:rsidRPr="00147307">
        <w:rPr>
          <w:rFonts w:eastAsiaTheme="minorHAnsi"/>
          <w:lang w:val="en-AU"/>
        </w:rPr>
        <w:t>Halpin</w:t>
      </w:r>
      <w:proofErr w:type="spellEnd"/>
      <w:r w:rsidRPr="00147307">
        <w:rPr>
          <w:rFonts w:eastAsiaTheme="minorHAnsi"/>
          <w:lang w:val="en-AU"/>
        </w:rPr>
        <w:t xml:space="preserve">, Rankin, Chapman </w:t>
      </w:r>
      <w:r>
        <w:rPr>
          <w:rFonts w:eastAsiaTheme="minorHAnsi"/>
          <w:lang w:val="en-AU"/>
        </w:rPr>
        <w:t>and</w:t>
      </w:r>
      <w:r w:rsidRPr="00147307">
        <w:rPr>
          <w:rFonts w:eastAsiaTheme="minorHAnsi"/>
          <w:lang w:val="en-AU"/>
        </w:rPr>
        <w:t xml:space="preserve"> Walker </w:t>
      </w:r>
      <w:r>
        <w:rPr>
          <w:rFonts w:eastAsiaTheme="minorHAnsi"/>
          <w:lang w:val="en-AU"/>
        </w:rPr>
        <w:t>(2015</w:t>
      </w:r>
      <w:r w:rsidR="008B3C37">
        <w:rPr>
          <w:rFonts w:eastAsiaTheme="minorHAnsi"/>
          <w:lang w:val="en-AU"/>
        </w:rPr>
        <w:t xml:space="preserve">, p. </w:t>
      </w:r>
      <w:r w:rsidR="0097121E">
        <w:rPr>
          <w:rFonts w:eastAsiaTheme="minorHAnsi"/>
          <w:lang w:val="en-AU"/>
        </w:rPr>
        <w:t>35</w:t>
      </w:r>
      <w:r>
        <w:rPr>
          <w:rFonts w:eastAsiaTheme="minorHAnsi"/>
          <w:lang w:val="en-AU"/>
        </w:rPr>
        <w:t xml:space="preserve">) sum up library users’ feedback about the value and valuing of public </w:t>
      </w:r>
      <w:r w:rsidR="005D7D81">
        <w:rPr>
          <w:rFonts w:eastAsiaTheme="minorHAnsi"/>
          <w:lang w:val="en-AU"/>
        </w:rPr>
        <w:t>libraries</w:t>
      </w:r>
      <w:r w:rsidR="00FC32A7">
        <w:rPr>
          <w:rFonts w:eastAsiaTheme="minorHAnsi"/>
          <w:lang w:val="en-AU"/>
        </w:rPr>
        <w:t xml:space="preserve"> across the review of literature</w:t>
      </w:r>
      <w:r>
        <w:rPr>
          <w:rFonts w:eastAsiaTheme="minorHAnsi"/>
          <w:lang w:val="en-AU"/>
        </w:rPr>
        <w:t>:</w:t>
      </w:r>
    </w:p>
    <w:p w14:paraId="6AA20E37" w14:textId="77777777" w:rsidR="00733607" w:rsidRDefault="00733607" w:rsidP="00104C14">
      <w:pPr>
        <w:spacing w:line="276" w:lineRule="auto"/>
        <w:jc w:val="both"/>
        <w:rPr>
          <w:color w:val="000000"/>
        </w:rPr>
      </w:pPr>
    </w:p>
    <w:p w14:paraId="07E23837" w14:textId="5906F6E3" w:rsidR="00733607" w:rsidRPr="00355588" w:rsidRDefault="0012403E" w:rsidP="00104C14">
      <w:pPr>
        <w:spacing w:line="276" w:lineRule="auto"/>
        <w:ind w:left="720"/>
        <w:jc w:val="both"/>
        <w:rPr>
          <w:color w:val="000000"/>
        </w:rPr>
      </w:pPr>
      <w:r>
        <w:rPr>
          <w:color w:val="000000"/>
        </w:rPr>
        <w:t>Libraries</w:t>
      </w:r>
      <w:r w:rsidR="00733607" w:rsidRPr="00355588">
        <w:rPr>
          <w:color w:val="000000"/>
        </w:rPr>
        <w:t xml:space="preserve"> provide a free </w:t>
      </w:r>
      <w:r w:rsidR="00733607">
        <w:rPr>
          <w:color w:val="000000"/>
        </w:rPr>
        <w:t xml:space="preserve">social space for the community … </w:t>
      </w:r>
      <w:r w:rsidR="00733607" w:rsidRPr="00355588">
        <w:rPr>
          <w:color w:val="000000"/>
        </w:rPr>
        <w:t>a safe and accessible place</w:t>
      </w:r>
      <w:r w:rsidR="00733607">
        <w:rPr>
          <w:color w:val="000000"/>
        </w:rPr>
        <w:t xml:space="preserve"> … unbiased and non-judgmental. </w:t>
      </w:r>
      <w:r w:rsidR="00733607" w:rsidRPr="00355588">
        <w:rPr>
          <w:color w:val="000000"/>
        </w:rPr>
        <w:t>They provide a place and support for disadvantaged groups, the poor, ethnic minorities, LGBT</w:t>
      </w:r>
      <w:r w:rsidR="00733607">
        <w:rPr>
          <w:color w:val="000000"/>
        </w:rPr>
        <w:t xml:space="preserve">, </w:t>
      </w:r>
      <w:r w:rsidR="00733607" w:rsidRPr="00355588">
        <w:rPr>
          <w:color w:val="000000"/>
        </w:rPr>
        <w:t xml:space="preserve">and for people with </w:t>
      </w:r>
      <w:r w:rsidR="00733607">
        <w:rPr>
          <w:color w:val="000000"/>
        </w:rPr>
        <w:t xml:space="preserve">disabilities.  </w:t>
      </w:r>
      <w:r w:rsidR="00733607" w:rsidRPr="00733607">
        <w:rPr>
          <w:color w:val="000000"/>
        </w:rPr>
        <w:t>Libraries provide entertainment and self</w:t>
      </w:r>
      <w:r w:rsidR="004568B7">
        <w:rPr>
          <w:color w:val="000000"/>
        </w:rPr>
        <w:t>-</w:t>
      </w:r>
      <w:r w:rsidR="00733607" w:rsidRPr="00733607">
        <w:rPr>
          <w:color w:val="000000"/>
        </w:rPr>
        <w:t>improvement.</w:t>
      </w:r>
      <w:r w:rsidR="00733607" w:rsidRPr="00355588">
        <w:rPr>
          <w:color w:val="000000"/>
        </w:rPr>
        <w:t xml:space="preserve"> </w:t>
      </w:r>
    </w:p>
    <w:p w14:paraId="571D2E1C" w14:textId="427F0698" w:rsidR="005B6A4A" w:rsidRDefault="005B6A4A" w:rsidP="00104C14">
      <w:pPr>
        <w:spacing w:line="276" w:lineRule="auto"/>
        <w:jc w:val="both"/>
        <w:rPr>
          <w:b/>
          <w:color w:val="000000"/>
        </w:rPr>
      </w:pPr>
    </w:p>
    <w:p w14:paraId="3A5E7F26" w14:textId="6A3D876A" w:rsidR="00796F2A" w:rsidRDefault="00893CE7" w:rsidP="00104C14">
      <w:pPr>
        <w:spacing w:line="276" w:lineRule="auto"/>
        <w:jc w:val="both"/>
        <w:rPr>
          <w:b/>
          <w:color w:val="000000"/>
        </w:rPr>
        <w:sectPr w:rsidR="00796F2A" w:rsidSect="00796F2A">
          <w:headerReference w:type="default" r:id="rId10"/>
          <w:footerReference w:type="even" r:id="rId11"/>
          <w:footerReference w:type="default" r:id="rId12"/>
          <w:pgSz w:w="12240" w:h="15840"/>
          <w:pgMar w:top="1440" w:right="1800" w:bottom="1440" w:left="1800" w:header="720" w:footer="720" w:gutter="0"/>
          <w:cols w:space="720"/>
          <w:docGrid w:linePitch="360"/>
        </w:sectPr>
      </w:pPr>
      <w:r w:rsidRPr="00415C38">
        <w:rPr>
          <w:color w:val="000000"/>
        </w:rPr>
        <w:t xml:space="preserve">This systemic review has confirmed that </w:t>
      </w:r>
      <w:r w:rsidR="00B61FE2">
        <w:rPr>
          <w:color w:val="000000"/>
        </w:rPr>
        <w:t>the multidimensional valuing of libraries is a growing research area</w:t>
      </w:r>
      <w:r>
        <w:rPr>
          <w:color w:val="000000"/>
        </w:rPr>
        <w:t>. P</w:t>
      </w:r>
      <w:r w:rsidRPr="00415C38">
        <w:rPr>
          <w:color w:val="000000"/>
        </w:rPr>
        <w:t xml:space="preserve">redominantly </w:t>
      </w:r>
      <w:r w:rsidR="0012403E">
        <w:rPr>
          <w:color w:val="000000"/>
        </w:rPr>
        <w:t>identified</w:t>
      </w:r>
      <w:r w:rsidR="00B61FE2">
        <w:rPr>
          <w:color w:val="000000"/>
        </w:rPr>
        <w:t xml:space="preserve"> </w:t>
      </w:r>
      <w:r w:rsidR="0012403E">
        <w:rPr>
          <w:color w:val="000000"/>
        </w:rPr>
        <w:t>were e</w:t>
      </w:r>
      <w:r w:rsidRPr="00415C38">
        <w:rPr>
          <w:color w:val="000000"/>
        </w:rPr>
        <w:t xml:space="preserve">ducational </w:t>
      </w:r>
      <w:r w:rsidR="0012403E">
        <w:rPr>
          <w:color w:val="000000"/>
        </w:rPr>
        <w:t xml:space="preserve">and </w:t>
      </w:r>
      <w:r w:rsidR="0012403E" w:rsidRPr="00415C38">
        <w:rPr>
          <w:color w:val="000000"/>
        </w:rPr>
        <w:t xml:space="preserve">social </w:t>
      </w:r>
      <w:r w:rsidRPr="00415C38">
        <w:rPr>
          <w:color w:val="000000"/>
        </w:rPr>
        <w:t>value</w:t>
      </w:r>
      <w:r w:rsidR="00D7266E">
        <w:rPr>
          <w:color w:val="000000"/>
        </w:rPr>
        <w:t>s</w:t>
      </w:r>
      <w:r w:rsidRPr="00415C38">
        <w:rPr>
          <w:color w:val="000000"/>
        </w:rPr>
        <w:t xml:space="preserve"> and </w:t>
      </w:r>
      <w:r w:rsidR="00B61FE2">
        <w:rPr>
          <w:color w:val="000000"/>
        </w:rPr>
        <w:t xml:space="preserve">the </w:t>
      </w:r>
      <w:r w:rsidRPr="00415C38">
        <w:rPr>
          <w:color w:val="000000"/>
        </w:rPr>
        <w:t xml:space="preserve">valuing </w:t>
      </w:r>
      <w:r w:rsidR="00B61FE2">
        <w:rPr>
          <w:color w:val="000000"/>
        </w:rPr>
        <w:t xml:space="preserve">of </w:t>
      </w:r>
      <w:r w:rsidRPr="00415C38">
        <w:rPr>
          <w:color w:val="000000"/>
        </w:rPr>
        <w:t xml:space="preserve">equity in </w:t>
      </w:r>
      <w:r w:rsidR="00D7266E">
        <w:rPr>
          <w:color w:val="000000"/>
        </w:rPr>
        <w:t xml:space="preserve">library </w:t>
      </w:r>
      <w:r w:rsidRPr="00415C38">
        <w:rPr>
          <w:color w:val="000000"/>
        </w:rPr>
        <w:t xml:space="preserve">service provision. While some progress has been demonstrated in measuring value, there remains a call to provide </w:t>
      </w:r>
      <w:r>
        <w:rPr>
          <w:color w:val="000000"/>
        </w:rPr>
        <w:t xml:space="preserve">more comprehensive </w:t>
      </w:r>
      <w:r w:rsidRPr="00415C38">
        <w:rPr>
          <w:color w:val="000000"/>
        </w:rPr>
        <w:t xml:space="preserve">evidence </w:t>
      </w:r>
      <w:r w:rsidR="00B61FE2">
        <w:rPr>
          <w:color w:val="000000"/>
        </w:rPr>
        <w:t>where uniformity</w:t>
      </w:r>
      <w:r w:rsidR="00814C4C">
        <w:rPr>
          <w:color w:val="000000"/>
        </w:rPr>
        <w:t xml:space="preserve"> in methods, finding and scope are established and the meaning of value is defined.</w:t>
      </w:r>
    </w:p>
    <w:p w14:paraId="6CE82901" w14:textId="5640A234" w:rsidR="00796F2A" w:rsidRDefault="00796F2A">
      <w:pPr>
        <w:rPr>
          <w:b/>
          <w:color w:val="000000"/>
        </w:rPr>
      </w:pPr>
    </w:p>
    <w:p w14:paraId="2960F702" w14:textId="77777777" w:rsidR="00796F2A" w:rsidRDefault="00796F2A">
      <w:pPr>
        <w:rPr>
          <w:b/>
          <w:color w:val="000000"/>
        </w:rPr>
      </w:pPr>
    </w:p>
    <w:p w14:paraId="7E9769B2" w14:textId="0A9F9388" w:rsidR="001257A0" w:rsidRDefault="001257A0" w:rsidP="00BF1060">
      <w:pPr>
        <w:jc w:val="right"/>
        <w:rPr>
          <w:b/>
          <w:color w:val="000000"/>
        </w:rPr>
      </w:pPr>
      <w:r>
        <w:rPr>
          <w:b/>
          <w:color w:val="000000"/>
        </w:rPr>
        <w:t>Appendix A</w:t>
      </w:r>
      <w:r w:rsidR="00FD045F">
        <w:rPr>
          <w:b/>
          <w:color w:val="000000"/>
        </w:rPr>
        <w:t>: Summary of the Studies Reviewed</w:t>
      </w:r>
    </w:p>
    <w:p w14:paraId="11BECC7A" w14:textId="77777777" w:rsidR="001257A0" w:rsidRDefault="001257A0" w:rsidP="00F368D2">
      <w:pPr>
        <w:jc w:val="both"/>
        <w:rPr>
          <w:b/>
          <w:color w:val="000000"/>
        </w:rPr>
      </w:pPr>
    </w:p>
    <w:p w14:paraId="753AA478" w14:textId="77777777" w:rsidR="005B6A4A" w:rsidRPr="00CB50AC" w:rsidRDefault="005B6A4A" w:rsidP="00F368D2">
      <w:pPr>
        <w:jc w:val="both"/>
        <w:rPr>
          <w:color w:val="000000"/>
          <w:sz w:val="20"/>
          <w:szCs w:val="20"/>
        </w:rPr>
      </w:pPr>
    </w:p>
    <w:tbl>
      <w:tblPr>
        <w:tblW w:w="13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319"/>
        <w:gridCol w:w="2256"/>
        <w:gridCol w:w="2669"/>
        <w:gridCol w:w="1816"/>
        <w:gridCol w:w="2754"/>
      </w:tblGrid>
      <w:tr w:rsidR="00DD2FA3" w:rsidRPr="005F00CB" w14:paraId="1D1D53A2" w14:textId="77777777" w:rsidTr="00825D69">
        <w:trPr>
          <w:tblHeader/>
        </w:trPr>
        <w:tc>
          <w:tcPr>
            <w:tcW w:w="1638" w:type="dxa"/>
            <w:shd w:val="clear" w:color="auto" w:fill="EEECE1" w:themeFill="background2"/>
          </w:tcPr>
          <w:p w14:paraId="3F2C4E59" w14:textId="77777777" w:rsidR="00F45873" w:rsidRPr="005F00CB" w:rsidRDefault="00F45873" w:rsidP="007C71A1">
            <w:pPr>
              <w:jc w:val="both"/>
              <w:rPr>
                <w:color w:val="000000"/>
              </w:rPr>
            </w:pPr>
            <w:r w:rsidRPr="005F00CB">
              <w:rPr>
                <w:color w:val="000000"/>
              </w:rPr>
              <w:t>Study</w:t>
            </w:r>
          </w:p>
        </w:tc>
        <w:tc>
          <w:tcPr>
            <w:tcW w:w="2319" w:type="dxa"/>
            <w:shd w:val="clear" w:color="auto" w:fill="EEECE1" w:themeFill="background2"/>
          </w:tcPr>
          <w:p w14:paraId="21C674A4" w14:textId="77777777" w:rsidR="00F45873" w:rsidRPr="005F00CB" w:rsidRDefault="00F45873" w:rsidP="007C71A1">
            <w:pPr>
              <w:jc w:val="both"/>
              <w:rPr>
                <w:color w:val="000000"/>
              </w:rPr>
            </w:pPr>
            <w:r w:rsidRPr="005F00CB">
              <w:rPr>
                <w:color w:val="000000"/>
              </w:rPr>
              <w:t>Aim</w:t>
            </w:r>
          </w:p>
        </w:tc>
        <w:tc>
          <w:tcPr>
            <w:tcW w:w="2256" w:type="dxa"/>
            <w:shd w:val="clear" w:color="auto" w:fill="EEECE1" w:themeFill="background2"/>
          </w:tcPr>
          <w:p w14:paraId="557575EB" w14:textId="77777777" w:rsidR="00F45873" w:rsidRPr="005F00CB" w:rsidRDefault="00F45873" w:rsidP="007C71A1">
            <w:pPr>
              <w:jc w:val="both"/>
              <w:rPr>
                <w:color w:val="000000"/>
              </w:rPr>
            </w:pPr>
            <w:r w:rsidRPr="005F00CB">
              <w:rPr>
                <w:color w:val="000000"/>
              </w:rPr>
              <w:t>Methodology/sample</w:t>
            </w:r>
          </w:p>
        </w:tc>
        <w:tc>
          <w:tcPr>
            <w:tcW w:w="2669" w:type="dxa"/>
            <w:shd w:val="clear" w:color="auto" w:fill="EEECE1" w:themeFill="background2"/>
          </w:tcPr>
          <w:p w14:paraId="16399702" w14:textId="77777777" w:rsidR="00F45873" w:rsidRPr="005F00CB" w:rsidRDefault="00F45873" w:rsidP="007C71A1">
            <w:pPr>
              <w:jc w:val="both"/>
              <w:rPr>
                <w:color w:val="000000"/>
              </w:rPr>
            </w:pPr>
            <w:r w:rsidRPr="005F00CB">
              <w:rPr>
                <w:color w:val="000000"/>
              </w:rPr>
              <w:t>Findings</w:t>
            </w:r>
          </w:p>
        </w:tc>
        <w:tc>
          <w:tcPr>
            <w:tcW w:w="1816" w:type="dxa"/>
            <w:shd w:val="clear" w:color="auto" w:fill="EEECE1" w:themeFill="background2"/>
          </w:tcPr>
          <w:p w14:paraId="3A62EB03" w14:textId="302B2204" w:rsidR="00F45873" w:rsidRPr="005F00CB" w:rsidRDefault="00A217C2" w:rsidP="00A217C2">
            <w:pPr>
              <w:jc w:val="both"/>
              <w:rPr>
                <w:color w:val="000000"/>
              </w:rPr>
            </w:pPr>
            <w:r>
              <w:rPr>
                <w:color w:val="000000"/>
              </w:rPr>
              <w:t>Value type</w:t>
            </w:r>
          </w:p>
        </w:tc>
        <w:tc>
          <w:tcPr>
            <w:tcW w:w="2754" w:type="dxa"/>
            <w:shd w:val="clear" w:color="auto" w:fill="EEECE1" w:themeFill="background2"/>
          </w:tcPr>
          <w:p w14:paraId="7FDEB045" w14:textId="77777777" w:rsidR="00F45873" w:rsidRPr="005F00CB" w:rsidRDefault="00F45873" w:rsidP="007C71A1">
            <w:pPr>
              <w:jc w:val="both"/>
              <w:rPr>
                <w:color w:val="000000"/>
              </w:rPr>
            </w:pPr>
            <w:r w:rsidRPr="005F00CB">
              <w:rPr>
                <w:color w:val="000000"/>
              </w:rPr>
              <w:t>Recommendations/  conclusions</w:t>
            </w:r>
          </w:p>
        </w:tc>
      </w:tr>
      <w:tr w:rsidR="00DD2FA3" w:rsidRPr="005F00CB" w14:paraId="35BD3539" w14:textId="77777777" w:rsidTr="00825D69">
        <w:tc>
          <w:tcPr>
            <w:tcW w:w="1638" w:type="dxa"/>
            <w:shd w:val="clear" w:color="auto" w:fill="auto"/>
          </w:tcPr>
          <w:p w14:paraId="684CB302" w14:textId="77777777" w:rsidR="00F45873" w:rsidRPr="009D70DA" w:rsidRDefault="00F45873" w:rsidP="007C71A1">
            <w:pPr>
              <w:rPr>
                <w:color w:val="000000"/>
              </w:rPr>
            </w:pPr>
            <w:proofErr w:type="spellStart"/>
            <w:r w:rsidRPr="009D70DA">
              <w:t>Aabø</w:t>
            </w:r>
            <w:proofErr w:type="spellEnd"/>
            <w:r w:rsidRPr="009D70DA">
              <w:t xml:space="preserve">, </w:t>
            </w:r>
            <w:proofErr w:type="spellStart"/>
            <w:r w:rsidRPr="009D70DA">
              <w:t>Audunson</w:t>
            </w:r>
            <w:proofErr w:type="spellEnd"/>
            <w:r w:rsidRPr="009D70DA">
              <w:t xml:space="preserve"> &amp; </w:t>
            </w:r>
            <w:proofErr w:type="spellStart"/>
            <w:r w:rsidRPr="009D70DA">
              <w:t>Vårheim</w:t>
            </w:r>
            <w:proofErr w:type="spellEnd"/>
            <w:r w:rsidRPr="009D70DA">
              <w:t xml:space="preserve"> 2010</w:t>
            </w:r>
          </w:p>
        </w:tc>
        <w:tc>
          <w:tcPr>
            <w:tcW w:w="2319" w:type="dxa"/>
            <w:shd w:val="clear" w:color="auto" w:fill="auto"/>
          </w:tcPr>
          <w:p w14:paraId="617C3967" w14:textId="38657D53" w:rsidR="00F45873" w:rsidRPr="009D70DA" w:rsidRDefault="00F45873" w:rsidP="008E65AF">
            <w:pPr>
              <w:rPr>
                <w:color w:val="000000"/>
              </w:rPr>
            </w:pPr>
            <w:r w:rsidRPr="009D70DA">
              <w:rPr>
                <w:color w:val="000000"/>
              </w:rPr>
              <w:t xml:space="preserve">Determines how libraries are used as meeting places through </w:t>
            </w:r>
            <w:r w:rsidRPr="009D70DA">
              <w:t xml:space="preserve">identified categories </w:t>
            </w:r>
            <w:r w:rsidR="00FD045F">
              <w:t xml:space="preserve">such </w:t>
            </w:r>
            <w:r w:rsidR="008E65AF">
              <w:t>as a: ‘</w:t>
            </w:r>
            <w:r w:rsidRPr="009D70DA">
              <w:t>square</w:t>
            </w:r>
            <w:r w:rsidR="008E65AF">
              <w:t>’</w:t>
            </w:r>
            <w:r w:rsidRPr="009D70DA">
              <w:t xml:space="preserve">, place for meeting diverse people (strangers), public sphere, place for joint activities, and/or place for virtual meetings. </w:t>
            </w:r>
            <w:r w:rsidRPr="009D70DA">
              <w:rPr>
                <w:color w:val="000000"/>
              </w:rPr>
              <w:t xml:space="preserve"> </w:t>
            </w:r>
          </w:p>
        </w:tc>
        <w:tc>
          <w:tcPr>
            <w:tcW w:w="2256" w:type="dxa"/>
            <w:shd w:val="clear" w:color="auto" w:fill="auto"/>
          </w:tcPr>
          <w:p w14:paraId="75B310E9" w14:textId="77777777" w:rsidR="00F45873" w:rsidRPr="009D70DA" w:rsidRDefault="00F45873" w:rsidP="007C71A1">
            <w:pPr>
              <w:rPr>
                <w:color w:val="000000"/>
              </w:rPr>
            </w:pPr>
            <w:r w:rsidRPr="009D70DA">
              <w:t>Self-completed survey administered to 1000 randomly selected participants in four towns in Norway (250 per location). The sample was weighted by gender and age.</w:t>
            </w:r>
          </w:p>
        </w:tc>
        <w:tc>
          <w:tcPr>
            <w:tcW w:w="2669" w:type="dxa"/>
            <w:shd w:val="clear" w:color="auto" w:fill="auto"/>
          </w:tcPr>
          <w:p w14:paraId="719CBB72" w14:textId="76EDE3ED" w:rsidR="00F45873" w:rsidRPr="009D70DA" w:rsidRDefault="00F45873" w:rsidP="00823F7C">
            <w:pPr>
              <w:rPr>
                <w:color w:val="000000"/>
              </w:rPr>
            </w:pPr>
            <w:r w:rsidRPr="009D70DA">
              <w:t>Strong evidence of lower educated people using the library as a square or low intensity meeting place. Those with lower education also more likely to use the library for joint and virtual ICT meetings (e.g. students). Higher educated attend more public sphere meetings.</w:t>
            </w:r>
          </w:p>
        </w:tc>
        <w:tc>
          <w:tcPr>
            <w:tcW w:w="1816" w:type="dxa"/>
            <w:shd w:val="clear" w:color="auto" w:fill="auto"/>
          </w:tcPr>
          <w:p w14:paraId="24CFE78C" w14:textId="488B4A1D" w:rsidR="00F45873" w:rsidRPr="009D70DA" w:rsidRDefault="00E5436B" w:rsidP="009C3F4A">
            <w:pPr>
              <w:rPr>
                <w:color w:val="000000"/>
              </w:rPr>
            </w:pPr>
            <w:r w:rsidRPr="009D70DA">
              <w:rPr>
                <w:color w:val="000000"/>
              </w:rPr>
              <w:t>Soci</w:t>
            </w:r>
            <w:r w:rsidR="00D30C3A" w:rsidRPr="009D70DA">
              <w:rPr>
                <w:color w:val="000000"/>
              </w:rPr>
              <w:t>al</w:t>
            </w:r>
            <w:r w:rsidR="009C3F4A">
              <w:rPr>
                <w:color w:val="000000"/>
              </w:rPr>
              <w:t xml:space="preserve"> </w:t>
            </w:r>
            <w:r w:rsidR="00F45873" w:rsidRPr="009D70DA">
              <w:rPr>
                <w:color w:val="000000"/>
              </w:rPr>
              <w:t>connection</w:t>
            </w:r>
          </w:p>
        </w:tc>
        <w:tc>
          <w:tcPr>
            <w:tcW w:w="2754" w:type="dxa"/>
            <w:shd w:val="clear" w:color="auto" w:fill="auto"/>
          </w:tcPr>
          <w:p w14:paraId="56F2A553" w14:textId="4458E01C" w:rsidR="00F45873" w:rsidRPr="009D70DA" w:rsidRDefault="00F45873" w:rsidP="00D30C3A">
            <w:pPr>
              <w:rPr>
                <w:color w:val="000000"/>
              </w:rPr>
            </w:pPr>
            <w:r w:rsidRPr="009D70DA">
              <w:t>Need to develop more in-depth understanding of the nature and scope of meetings in libraries</w:t>
            </w:r>
            <w:r w:rsidR="004278EF" w:rsidRPr="009D70DA">
              <w:t xml:space="preserve"> and how these facilitate social </w:t>
            </w:r>
            <w:r w:rsidR="00D30C3A" w:rsidRPr="009D70DA">
              <w:t>connection.</w:t>
            </w:r>
          </w:p>
        </w:tc>
      </w:tr>
      <w:tr w:rsidR="00DD2FA3" w:rsidRPr="005F00CB" w14:paraId="49694500" w14:textId="77777777" w:rsidTr="00825D69">
        <w:tc>
          <w:tcPr>
            <w:tcW w:w="1638" w:type="dxa"/>
            <w:shd w:val="clear" w:color="auto" w:fill="auto"/>
          </w:tcPr>
          <w:p w14:paraId="2B7AF7D8" w14:textId="3017CD2F" w:rsidR="00B60722" w:rsidRPr="009D70DA" w:rsidRDefault="00B60722" w:rsidP="00B60722">
            <w:r w:rsidRPr="009D70DA">
              <w:rPr>
                <w:rFonts w:eastAsia="Calibri"/>
                <w:lang w:val="en-AU"/>
              </w:rPr>
              <w:t xml:space="preserve">Appleton, Hall, Duff &amp; </w:t>
            </w:r>
            <w:proofErr w:type="spellStart"/>
            <w:r w:rsidRPr="009D70DA">
              <w:rPr>
                <w:rFonts w:eastAsia="Calibri"/>
                <w:lang w:val="en-AU"/>
              </w:rPr>
              <w:t>Raeside</w:t>
            </w:r>
            <w:proofErr w:type="spellEnd"/>
            <w:r w:rsidRPr="009D70DA">
              <w:rPr>
                <w:rFonts w:eastAsia="Calibri"/>
                <w:lang w:val="en-AU"/>
              </w:rPr>
              <w:t>, 2018</w:t>
            </w:r>
          </w:p>
        </w:tc>
        <w:tc>
          <w:tcPr>
            <w:tcW w:w="2319" w:type="dxa"/>
            <w:shd w:val="clear" w:color="auto" w:fill="auto"/>
          </w:tcPr>
          <w:p w14:paraId="2782ED04" w14:textId="60B5130D" w:rsidR="00B60722" w:rsidRPr="009D70DA" w:rsidRDefault="00B60722" w:rsidP="007B0151">
            <w:pPr>
              <w:rPr>
                <w:color w:val="000000"/>
              </w:rPr>
            </w:pPr>
            <w:r w:rsidRPr="009D70DA">
              <w:rPr>
                <w:color w:val="000000"/>
              </w:rPr>
              <w:t xml:space="preserve">Explores the advantages and disadvantages accrued by individuals through public library use, and the impact of this on </w:t>
            </w:r>
            <w:r w:rsidR="007B0151" w:rsidRPr="009D70DA">
              <w:rPr>
                <w:color w:val="000000"/>
              </w:rPr>
              <w:t xml:space="preserve">public spirit </w:t>
            </w:r>
            <w:r w:rsidRPr="009D70DA">
              <w:rPr>
                <w:color w:val="000000"/>
              </w:rPr>
              <w:t>at individual and community levels</w:t>
            </w:r>
            <w:r w:rsidR="00A858CC" w:rsidRPr="009D70DA">
              <w:rPr>
                <w:color w:val="000000"/>
              </w:rPr>
              <w:t>.</w:t>
            </w:r>
          </w:p>
        </w:tc>
        <w:tc>
          <w:tcPr>
            <w:tcW w:w="2256" w:type="dxa"/>
            <w:shd w:val="clear" w:color="auto" w:fill="auto"/>
          </w:tcPr>
          <w:p w14:paraId="392393EB" w14:textId="6BB3A596" w:rsidR="00B60722" w:rsidRPr="009D70DA" w:rsidRDefault="00B60722" w:rsidP="007C71A1">
            <w:r w:rsidRPr="009D70DA">
              <w:t xml:space="preserve">Two phase longitudinal focus groups in eight locations in the UK involving </w:t>
            </w:r>
          </w:p>
          <w:p w14:paraId="64CB7A3C" w14:textId="14F548FB" w:rsidR="00B60722" w:rsidRPr="009D70DA" w:rsidRDefault="00B60722" w:rsidP="007C71A1">
            <w:r w:rsidRPr="009D70DA">
              <w:t>53 participants described as avid users.</w:t>
            </w:r>
          </w:p>
        </w:tc>
        <w:tc>
          <w:tcPr>
            <w:tcW w:w="2669" w:type="dxa"/>
            <w:shd w:val="clear" w:color="auto" w:fill="auto"/>
          </w:tcPr>
          <w:p w14:paraId="6D1D2A15" w14:textId="12E4306E" w:rsidR="00B60722" w:rsidRPr="009D70DA" w:rsidRDefault="00B60722" w:rsidP="00FB06A1">
            <w:r w:rsidRPr="009D70DA">
              <w:t xml:space="preserve">Findings reveal that active library users regard the primary function of the library as </w:t>
            </w:r>
            <w:r w:rsidR="00523E5D" w:rsidRPr="009D70DA">
              <w:t>a source of access to knowledge and information with library staff</w:t>
            </w:r>
            <w:r w:rsidR="00A858CC" w:rsidRPr="009D70DA">
              <w:t xml:space="preserve"> assistance</w:t>
            </w:r>
            <w:r w:rsidR="00523E5D" w:rsidRPr="009D70DA">
              <w:t xml:space="preserve">. There was a preference for printed material despite computer literacy. </w:t>
            </w:r>
            <w:r w:rsidR="00FB06A1" w:rsidRPr="009D70DA">
              <w:t xml:space="preserve">Public libraries were considered </w:t>
            </w:r>
            <w:r w:rsidR="00FB06A1" w:rsidRPr="009D70DA">
              <w:lastRenderedPageBreak/>
              <w:t xml:space="preserve">safe and highly valued for their inclusivity and diversity, allowing for interaction among a broad mix of people. </w:t>
            </w:r>
            <w:r w:rsidR="007B0151" w:rsidRPr="009D70DA">
              <w:t>Community ownership of public library services was another key finding.</w:t>
            </w:r>
          </w:p>
        </w:tc>
        <w:tc>
          <w:tcPr>
            <w:tcW w:w="1816" w:type="dxa"/>
            <w:shd w:val="clear" w:color="auto" w:fill="auto"/>
          </w:tcPr>
          <w:p w14:paraId="12E4631D" w14:textId="22D50CB8" w:rsidR="00B60722" w:rsidRPr="009D70DA" w:rsidRDefault="00A858CC" w:rsidP="00FB06A1">
            <w:pPr>
              <w:rPr>
                <w:color w:val="000000"/>
              </w:rPr>
            </w:pPr>
            <w:r w:rsidRPr="009D70DA">
              <w:rPr>
                <w:color w:val="000000"/>
              </w:rPr>
              <w:lastRenderedPageBreak/>
              <w:t xml:space="preserve">Social </w:t>
            </w:r>
            <w:r w:rsidR="00FB06A1" w:rsidRPr="009D70DA">
              <w:rPr>
                <w:color w:val="000000"/>
              </w:rPr>
              <w:t>inclusion</w:t>
            </w:r>
          </w:p>
        </w:tc>
        <w:tc>
          <w:tcPr>
            <w:tcW w:w="2754" w:type="dxa"/>
            <w:shd w:val="clear" w:color="auto" w:fill="auto"/>
          </w:tcPr>
          <w:p w14:paraId="5EBB1032" w14:textId="3BC6CE04" w:rsidR="00B60722" w:rsidRPr="009D70DA" w:rsidRDefault="00FB06A1" w:rsidP="00B21F0A">
            <w:r w:rsidRPr="009D70DA">
              <w:t xml:space="preserve">The impact of public libraries on </w:t>
            </w:r>
            <w:r w:rsidR="007B0151" w:rsidRPr="009D70DA">
              <w:t xml:space="preserve">citizenship </w:t>
            </w:r>
            <w:r w:rsidRPr="009D70DA">
              <w:t>has previously been difficult to identify</w:t>
            </w:r>
            <w:r w:rsidR="00FD045F">
              <w:t>. T</w:t>
            </w:r>
            <w:r w:rsidRPr="009D70DA">
              <w:t>he evidence from this study shows that public library use supports participation in, and the fulfilment of</w:t>
            </w:r>
            <w:r w:rsidR="00FD045F">
              <w:t>,</w:t>
            </w:r>
            <w:r w:rsidRPr="009D70DA">
              <w:t xml:space="preserve"> individual and community obligations. </w:t>
            </w:r>
            <w:r w:rsidR="007B0151" w:rsidRPr="009D70DA">
              <w:t xml:space="preserve">The benefits of library usage were </w:t>
            </w:r>
            <w:r w:rsidR="00B21F0A" w:rsidRPr="009D70DA">
              <w:t>summed up as:</w:t>
            </w:r>
            <w:r w:rsidR="007B0151" w:rsidRPr="009D70DA">
              <w:t xml:space="preserve"> priorities </w:t>
            </w:r>
            <w:r w:rsidR="007B0151" w:rsidRPr="009D70DA">
              <w:lastRenderedPageBreak/>
              <w:t>of place, print, people and professionals</w:t>
            </w:r>
            <w:r w:rsidR="00B21F0A" w:rsidRPr="009D70DA">
              <w:t>.</w:t>
            </w:r>
          </w:p>
        </w:tc>
      </w:tr>
      <w:tr w:rsidR="00DD2FA3" w:rsidRPr="005F00CB" w14:paraId="52D87218" w14:textId="77777777" w:rsidTr="00825D69">
        <w:tc>
          <w:tcPr>
            <w:tcW w:w="1638" w:type="dxa"/>
            <w:shd w:val="clear" w:color="auto" w:fill="auto"/>
          </w:tcPr>
          <w:p w14:paraId="0A498ABA" w14:textId="77777777" w:rsidR="00F45873" w:rsidRPr="009D70DA" w:rsidRDefault="00F45873" w:rsidP="007C71A1">
            <w:proofErr w:type="spellStart"/>
            <w:r w:rsidRPr="009D70DA">
              <w:t>Audunson</w:t>
            </w:r>
            <w:proofErr w:type="spellEnd"/>
            <w:r w:rsidRPr="009D70DA">
              <w:t xml:space="preserve">, </w:t>
            </w:r>
            <w:proofErr w:type="spellStart"/>
            <w:r w:rsidRPr="009D70DA">
              <w:t>Essmat</w:t>
            </w:r>
            <w:proofErr w:type="spellEnd"/>
            <w:r w:rsidRPr="009D70DA">
              <w:t xml:space="preserve"> &amp; </w:t>
            </w:r>
            <w:proofErr w:type="spellStart"/>
            <w:r w:rsidRPr="009D70DA">
              <w:t>Aabø</w:t>
            </w:r>
            <w:proofErr w:type="spellEnd"/>
            <w:r w:rsidRPr="009D70DA">
              <w:t xml:space="preserve"> 2011</w:t>
            </w:r>
          </w:p>
        </w:tc>
        <w:tc>
          <w:tcPr>
            <w:tcW w:w="2319" w:type="dxa"/>
            <w:shd w:val="clear" w:color="auto" w:fill="auto"/>
          </w:tcPr>
          <w:p w14:paraId="425BB2F3" w14:textId="32037847" w:rsidR="00F45873" w:rsidRPr="009D70DA" w:rsidRDefault="00F45873" w:rsidP="00F23A6B">
            <w:pPr>
              <w:rPr>
                <w:color w:val="000000"/>
              </w:rPr>
            </w:pPr>
            <w:r w:rsidRPr="009D70DA">
              <w:rPr>
                <w:color w:val="000000"/>
              </w:rPr>
              <w:t>E</w:t>
            </w:r>
            <w:r w:rsidR="00F23A6B" w:rsidRPr="009D70DA">
              <w:rPr>
                <w:color w:val="000000"/>
              </w:rPr>
              <w:t>xplore</w:t>
            </w:r>
            <w:r w:rsidRPr="009D70DA">
              <w:rPr>
                <w:color w:val="000000"/>
              </w:rPr>
              <w:t>s the role that a public library plays in the lives of immigrant women</w:t>
            </w:r>
          </w:p>
        </w:tc>
        <w:tc>
          <w:tcPr>
            <w:tcW w:w="2256" w:type="dxa"/>
            <w:shd w:val="clear" w:color="auto" w:fill="auto"/>
          </w:tcPr>
          <w:p w14:paraId="52ECE2A7" w14:textId="2C844E24" w:rsidR="00F45873" w:rsidRPr="009D70DA" w:rsidRDefault="00F45873" w:rsidP="007C71A1">
            <w:r w:rsidRPr="009D70DA">
              <w:t>Nine in-depth interviews of female immigrants to Norway</w:t>
            </w:r>
            <w:r w:rsidR="004E7BC8">
              <w:t>.</w:t>
            </w:r>
          </w:p>
        </w:tc>
        <w:tc>
          <w:tcPr>
            <w:tcW w:w="2669" w:type="dxa"/>
            <w:shd w:val="clear" w:color="auto" w:fill="auto"/>
          </w:tcPr>
          <w:p w14:paraId="64BFFA5B" w14:textId="7CEE4A75" w:rsidR="00F45873" w:rsidRPr="009D70DA" w:rsidRDefault="00F45873" w:rsidP="00520190">
            <w:r w:rsidRPr="009D70DA">
              <w:t xml:space="preserve">For the sample of immigrant women, the public library represented a complex meeting place supporting their integration into Norwegian society. </w:t>
            </w:r>
            <w:r w:rsidR="00DD2FA3" w:rsidRPr="009D70DA">
              <w:t xml:space="preserve">For the sample, the library was described as the first friend in the new country. </w:t>
            </w:r>
            <w:r w:rsidRPr="009D70DA">
              <w:t>The library offer</w:t>
            </w:r>
            <w:r w:rsidR="00520190" w:rsidRPr="009D70DA">
              <w:t>ed</w:t>
            </w:r>
            <w:r w:rsidRPr="009D70DA">
              <w:t xml:space="preserve"> a bridge to the new culture as well as connection to their culture of origin, assisting them to transition from an initially distance to active participation.</w:t>
            </w:r>
            <w:r w:rsidR="007B0151" w:rsidRPr="009D70DA">
              <w:t xml:space="preserve"> </w:t>
            </w:r>
          </w:p>
        </w:tc>
        <w:tc>
          <w:tcPr>
            <w:tcW w:w="1816" w:type="dxa"/>
            <w:shd w:val="clear" w:color="auto" w:fill="auto"/>
          </w:tcPr>
          <w:p w14:paraId="40F3632A" w14:textId="4EB6E60C" w:rsidR="00F45873" w:rsidRPr="009D70DA" w:rsidRDefault="00520190" w:rsidP="00520190">
            <w:pPr>
              <w:rPr>
                <w:color w:val="000000"/>
              </w:rPr>
            </w:pPr>
            <w:r w:rsidRPr="009D70DA">
              <w:rPr>
                <w:color w:val="000000"/>
              </w:rPr>
              <w:t xml:space="preserve">Equity </w:t>
            </w:r>
          </w:p>
        </w:tc>
        <w:tc>
          <w:tcPr>
            <w:tcW w:w="2754" w:type="dxa"/>
            <w:shd w:val="clear" w:color="auto" w:fill="auto"/>
          </w:tcPr>
          <w:p w14:paraId="54300FBC" w14:textId="208B47A3" w:rsidR="00F45873" w:rsidRPr="009D70DA" w:rsidRDefault="00DD2FA3" w:rsidP="00DD2FA3">
            <w:r w:rsidRPr="009D70DA">
              <w:t xml:space="preserve">Migration means an upheaval in social capital due to leaving social networks, language and cultural codes. </w:t>
            </w:r>
            <w:r w:rsidR="00F45873" w:rsidRPr="009D70DA">
              <w:t>Library usage related to a number of life spheres for immigrant women, from friendships through to education and employment. However</w:t>
            </w:r>
            <w:r w:rsidR="00A91041" w:rsidRPr="009D70DA">
              <w:t>,</w:t>
            </w:r>
            <w:r w:rsidR="00F45873" w:rsidRPr="009D70DA">
              <w:t xml:space="preserve"> the role of the library differed according to </w:t>
            </w:r>
            <w:r w:rsidR="00A91041" w:rsidRPr="009D70DA">
              <w:t xml:space="preserve">the </w:t>
            </w:r>
            <w:r w:rsidR="00F45873" w:rsidRPr="009D70DA">
              <w:t xml:space="preserve">phases of participants’ tenure as immigrants with greater usage in the initial phases as a source of solace for their homesickness and less </w:t>
            </w:r>
            <w:r w:rsidR="00A91041" w:rsidRPr="009D70DA">
              <w:t xml:space="preserve">so </w:t>
            </w:r>
            <w:r w:rsidR="00F45873" w:rsidRPr="009D70DA">
              <w:t xml:space="preserve">as they integrated into the wider society. </w:t>
            </w:r>
          </w:p>
        </w:tc>
      </w:tr>
      <w:tr w:rsidR="00DD2FA3" w:rsidRPr="005F00CB" w14:paraId="5C18DE98" w14:textId="77777777" w:rsidTr="00825D69">
        <w:tc>
          <w:tcPr>
            <w:tcW w:w="1638" w:type="dxa"/>
            <w:shd w:val="clear" w:color="auto" w:fill="auto"/>
          </w:tcPr>
          <w:p w14:paraId="28E87E0E" w14:textId="53079290" w:rsidR="00AC1EB5" w:rsidRPr="009D70DA" w:rsidRDefault="00AC1EB5" w:rsidP="00AC1EB5">
            <w:r w:rsidRPr="009D70DA">
              <w:lastRenderedPageBreak/>
              <w:t>Australian Library and Information Association (ALIA) 2013</w:t>
            </w:r>
          </w:p>
        </w:tc>
        <w:tc>
          <w:tcPr>
            <w:tcW w:w="2319" w:type="dxa"/>
            <w:shd w:val="clear" w:color="auto" w:fill="auto"/>
          </w:tcPr>
          <w:p w14:paraId="7A38B0AE" w14:textId="0E28A498" w:rsidR="00AC1EB5" w:rsidRPr="009D70DA" w:rsidRDefault="00AC1EB5" w:rsidP="00AC1EB5">
            <w:pPr>
              <w:rPr>
                <w:color w:val="000000"/>
              </w:rPr>
            </w:pPr>
            <w:r w:rsidRPr="009D70DA">
              <w:rPr>
                <w:color w:val="000000"/>
              </w:rPr>
              <w:t>Investigates and assesses contributions that public libraries make to Australian community</w:t>
            </w:r>
            <w:r w:rsidR="007E268D" w:rsidRPr="009D70DA">
              <w:rPr>
                <w:color w:val="000000"/>
              </w:rPr>
              <w:t xml:space="preserve"> welfare and economic activity.</w:t>
            </w:r>
          </w:p>
        </w:tc>
        <w:tc>
          <w:tcPr>
            <w:tcW w:w="2256" w:type="dxa"/>
            <w:shd w:val="clear" w:color="auto" w:fill="auto"/>
          </w:tcPr>
          <w:p w14:paraId="6BDEFBFE" w14:textId="5B2D5CE6" w:rsidR="00AC1EB5" w:rsidRPr="009D70DA" w:rsidRDefault="00AC1EB5" w:rsidP="00AC1EB5">
            <w:r w:rsidRPr="009D70DA">
              <w:t xml:space="preserve">Two measurement frameworks </w:t>
            </w:r>
            <w:r w:rsidR="007E268D" w:rsidRPr="009D70DA">
              <w:t xml:space="preserve">were used </w:t>
            </w:r>
            <w:r w:rsidRPr="009D70DA">
              <w:t xml:space="preserve">to determine: first the net contribution of public libraries to community welfare; and second,  the economic stimulus </w:t>
            </w:r>
            <w:r w:rsidRPr="009D70DA">
              <w:rPr>
                <w:color w:val="000000"/>
              </w:rPr>
              <w:t>by public library operations</w:t>
            </w:r>
          </w:p>
        </w:tc>
        <w:tc>
          <w:tcPr>
            <w:tcW w:w="2669" w:type="dxa"/>
            <w:shd w:val="clear" w:color="auto" w:fill="auto"/>
          </w:tcPr>
          <w:p w14:paraId="647637FB" w14:textId="6D911951" w:rsidR="00AC1EB5" w:rsidRPr="009D70DA" w:rsidRDefault="007E268D" w:rsidP="00A46B78">
            <w:r w:rsidRPr="009D70DA">
              <w:t>This Australia-</w:t>
            </w:r>
            <w:r w:rsidR="00AC1EB5" w:rsidRPr="009D70DA">
              <w:t xml:space="preserve">wide </w:t>
            </w:r>
            <w:r w:rsidRPr="009D70DA">
              <w:t xml:space="preserve">study </w:t>
            </w:r>
            <w:r w:rsidR="00A46B78" w:rsidRPr="009D70DA">
              <w:t>provided data on the contribution made by public libraries with a state by state breakdown</w:t>
            </w:r>
            <w:r w:rsidR="00AC1EB5" w:rsidRPr="009D70DA">
              <w:t>. Western Australia</w:t>
            </w:r>
            <w:r w:rsidR="00A46B78" w:rsidRPr="009D70DA">
              <w:t>’s</w:t>
            </w:r>
            <w:r w:rsidR="00AC1EB5" w:rsidRPr="009D70DA">
              <w:t xml:space="preserve"> figures indicate that libraries contribute around $2 billion to community welfare. Further, economic stimulus generated by library operation</w:t>
            </w:r>
            <w:r w:rsidR="00A46B78" w:rsidRPr="009D70DA">
              <w:t>s</w:t>
            </w:r>
            <w:r w:rsidR="00AC1EB5" w:rsidRPr="009D70DA">
              <w:t xml:space="preserve"> in WA was estimated at $3.5 billion annually.</w:t>
            </w:r>
          </w:p>
        </w:tc>
        <w:tc>
          <w:tcPr>
            <w:tcW w:w="1816" w:type="dxa"/>
            <w:shd w:val="clear" w:color="auto" w:fill="auto"/>
          </w:tcPr>
          <w:p w14:paraId="264E8A00" w14:textId="485288A0" w:rsidR="00AC1EB5" w:rsidRPr="009D70DA" w:rsidRDefault="00AC1EB5" w:rsidP="00AC1EB5">
            <w:r w:rsidRPr="009D70DA">
              <w:t>Economic</w:t>
            </w:r>
          </w:p>
        </w:tc>
        <w:tc>
          <w:tcPr>
            <w:tcW w:w="2754" w:type="dxa"/>
            <w:shd w:val="clear" w:color="auto" w:fill="auto"/>
          </w:tcPr>
          <w:p w14:paraId="21503EAA" w14:textId="791BD313" w:rsidR="00AC1EB5" w:rsidRPr="009D70DA" w:rsidRDefault="00A46B78" w:rsidP="00AC1EB5">
            <w:r w:rsidRPr="009D70DA">
              <w:t>The s</w:t>
            </w:r>
            <w:r w:rsidR="00AC1EB5" w:rsidRPr="009D70DA">
              <w:t>tudy conclude</w:t>
            </w:r>
            <w:r w:rsidRPr="009D70DA">
              <w:t xml:space="preserve">d </w:t>
            </w:r>
            <w:r w:rsidR="00AC1EB5" w:rsidRPr="009D70DA">
              <w:t xml:space="preserve">that collectively findings establish a strong basis for increased funding to public library with figures confirming the value add of libraries to communities as well as local and state economies. </w:t>
            </w:r>
          </w:p>
          <w:p w14:paraId="2E10F878" w14:textId="77777777" w:rsidR="00AC1EB5" w:rsidRPr="009D70DA" w:rsidRDefault="00AC1EB5" w:rsidP="00AC1EB5"/>
        </w:tc>
      </w:tr>
      <w:tr w:rsidR="00DD2FA3" w:rsidRPr="005F00CB" w14:paraId="16731A71" w14:textId="77777777" w:rsidTr="00825D69">
        <w:tc>
          <w:tcPr>
            <w:tcW w:w="1638" w:type="dxa"/>
            <w:shd w:val="clear" w:color="auto" w:fill="auto"/>
          </w:tcPr>
          <w:p w14:paraId="457C9EA2" w14:textId="77777777" w:rsidR="00F45873" w:rsidRPr="009D70DA" w:rsidRDefault="00F45873" w:rsidP="007C71A1">
            <w:r w:rsidRPr="009D70DA">
              <w:t>Barclay 2017</w:t>
            </w:r>
          </w:p>
        </w:tc>
        <w:tc>
          <w:tcPr>
            <w:tcW w:w="2319" w:type="dxa"/>
            <w:shd w:val="clear" w:color="auto" w:fill="auto"/>
          </w:tcPr>
          <w:p w14:paraId="58DE7E39" w14:textId="77777777" w:rsidR="00F45873" w:rsidRPr="009D70DA" w:rsidRDefault="00F45873" w:rsidP="007C71A1">
            <w:pPr>
              <w:rPr>
                <w:color w:val="000000"/>
              </w:rPr>
            </w:pPr>
            <w:r w:rsidRPr="009D70DA">
              <w:rPr>
                <w:color w:val="000000"/>
              </w:rPr>
              <w:t>Examines the uniqueness of library space and its social worth.</w:t>
            </w:r>
          </w:p>
        </w:tc>
        <w:tc>
          <w:tcPr>
            <w:tcW w:w="2256" w:type="dxa"/>
            <w:shd w:val="clear" w:color="auto" w:fill="auto"/>
          </w:tcPr>
          <w:p w14:paraId="6A9D3496" w14:textId="77777777" w:rsidR="00F45873" w:rsidRPr="009D70DA" w:rsidRDefault="00F45873" w:rsidP="007C71A1">
            <w:r w:rsidRPr="009D70DA">
              <w:t>Literature review</w:t>
            </w:r>
          </w:p>
        </w:tc>
        <w:tc>
          <w:tcPr>
            <w:tcW w:w="2669" w:type="dxa"/>
            <w:shd w:val="clear" w:color="auto" w:fill="auto"/>
          </w:tcPr>
          <w:p w14:paraId="2BF73D34" w14:textId="194863CE" w:rsidR="00F45873" w:rsidRPr="009D70DA" w:rsidRDefault="00F45873" w:rsidP="00A91041">
            <w:r w:rsidRPr="009D70DA">
              <w:t xml:space="preserve">Despite the growth in digital information, usage data indicates a continued increase in </w:t>
            </w:r>
            <w:r w:rsidR="00A91041" w:rsidRPr="009D70DA">
              <w:t xml:space="preserve">library </w:t>
            </w:r>
            <w:r w:rsidRPr="009D70DA">
              <w:t>visitors. Libraries promote their access to information, educational resources, technology and other valuable services however they infrequently promote the library space itself. It remains an under-examined contribution.</w:t>
            </w:r>
          </w:p>
        </w:tc>
        <w:tc>
          <w:tcPr>
            <w:tcW w:w="1816" w:type="dxa"/>
            <w:shd w:val="clear" w:color="auto" w:fill="auto"/>
          </w:tcPr>
          <w:p w14:paraId="46F3BE25" w14:textId="48AE4344" w:rsidR="00F45873" w:rsidRPr="009D70DA" w:rsidRDefault="00E5436B" w:rsidP="007C71A1">
            <w:pPr>
              <w:rPr>
                <w:color w:val="000000"/>
              </w:rPr>
            </w:pPr>
            <w:r w:rsidRPr="009D70DA">
              <w:rPr>
                <w:color w:val="000000"/>
              </w:rPr>
              <w:t>Institutional (</w:t>
            </w:r>
            <w:r w:rsidR="00F45873" w:rsidRPr="009D70DA">
              <w:rPr>
                <w:color w:val="000000"/>
              </w:rPr>
              <w:t>Public space</w:t>
            </w:r>
            <w:r w:rsidRPr="009D70DA">
              <w:rPr>
                <w:color w:val="000000"/>
              </w:rPr>
              <w:t>)</w:t>
            </w:r>
          </w:p>
        </w:tc>
        <w:tc>
          <w:tcPr>
            <w:tcW w:w="2754" w:type="dxa"/>
            <w:shd w:val="clear" w:color="auto" w:fill="auto"/>
          </w:tcPr>
          <w:p w14:paraId="0FD26B82" w14:textId="19A647C1" w:rsidR="00F45873" w:rsidRPr="009D70DA" w:rsidRDefault="0034584F" w:rsidP="0034584F">
            <w:r>
              <w:t xml:space="preserve">Review concludes </w:t>
            </w:r>
            <w:r w:rsidRPr="008D4EED">
              <w:t xml:space="preserve">that libraries are one of the last remaining public spaces </w:t>
            </w:r>
            <w:r>
              <w:t>where a citizen</w:t>
            </w:r>
            <w:r w:rsidRPr="008D4EED">
              <w:t xml:space="preserve"> can stay all day without providing a reason and not spend any money. </w:t>
            </w:r>
            <w:r w:rsidR="00F45873" w:rsidRPr="009D70DA">
              <w:t xml:space="preserve">Public libraries should preserve and promote this uniqueness while continuing to make these spaces publically available. </w:t>
            </w:r>
          </w:p>
        </w:tc>
      </w:tr>
      <w:tr w:rsidR="00DD2FA3" w:rsidRPr="005F00CB" w14:paraId="041D9C7A" w14:textId="77777777" w:rsidTr="00825D69">
        <w:tc>
          <w:tcPr>
            <w:tcW w:w="1638" w:type="dxa"/>
            <w:shd w:val="clear" w:color="auto" w:fill="auto"/>
          </w:tcPr>
          <w:p w14:paraId="77B6E259" w14:textId="42DAA7A6" w:rsidR="00E46321" w:rsidRPr="009D70DA" w:rsidRDefault="006616FE" w:rsidP="006562A7">
            <w:pPr>
              <w:rPr>
                <w:rFonts w:eastAsia="Calibri"/>
                <w:bCs/>
                <w:lang w:val="en-AU"/>
              </w:rPr>
            </w:pPr>
            <w:r w:rsidRPr="009D70DA">
              <w:rPr>
                <w:rFonts w:eastAsia="Calibri"/>
                <w:bCs/>
                <w:lang w:val="en-AU"/>
              </w:rPr>
              <w:lastRenderedPageBreak/>
              <w:t>Barratt-Pugh, Anderson &amp; North 2013</w:t>
            </w:r>
          </w:p>
        </w:tc>
        <w:tc>
          <w:tcPr>
            <w:tcW w:w="2319" w:type="dxa"/>
            <w:shd w:val="clear" w:color="auto" w:fill="auto"/>
          </w:tcPr>
          <w:p w14:paraId="3E166C0A" w14:textId="616B6A4C" w:rsidR="00E46321" w:rsidRPr="009D70DA" w:rsidRDefault="006616FE" w:rsidP="009F5B5A">
            <w:pPr>
              <w:rPr>
                <w:color w:val="000000"/>
              </w:rPr>
            </w:pPr>
            <w:r w:rsidRPr="009D70DA">
              <w:rPr>
                <w:color w:val="000000"/>
              </w:rPr>
              <w:t xml:space="preserve">Investigates family literacy programs </w:t>
            </w:r>
            <w:r w:rsidR="009F5B5A" w:rsidRPr="009D70DA">
              <w:rPr>
                <w:color w:val="000000"/>
              </w:rPr>
              <w:t xml:space="preserve">conducted by librarians, specifically </w:t>
            </w:r>
            <w:r w:rsidR="009F5B5A" w:rsidRPr="009D70DA">
              <w:rPr>
                <w:i/>
                <w:color w:val="000000"/>
              </w:rPr>
              <w:t>Better Beginnings</w:t>
            </w:r>
            <w:r w:rsidR="009F5B5A" w:rsidRPr="009D70DA">
              <w:rPr>
                <w:color w:val="000000"/>
              </w:rPr>
              <w:t xml:space="preserve"> a program developed by SLWA.</w:t>
            </w:r>
            <w:r w:rsidRPr="009D70DA">
              <w:rPr>
                <w:color w:val="000000"/>
              </w:rPr>
              <w:t xml:space="preserve"> </w:t>
            </w:r>
          </w:p>
        </w:tc>
        <w:tc>
          <w:tcPr>
            <w:tcW w:w="2256" w:type="dxa"/>
            <w:shd w:val="clear" w:color="auto" w:fill="auto"/>
          </w:tcPr>
          <w:p w14:paraId="7D3B9146" w14:textId="38F455DB" w:rsidR="00E46321" w:rsidRPr="009D70DA" w:rsidRDefault="006616FE" w:rsidP="00240C88">
            <w:r w:rsidRPr="009D70DA">
              <w:t xml:space="preserve">Longitudinal study </w:t>
            </w:r>
            <w:r w:rsidR="00887EA6" w:rsidRPr="009D70DA">
              <w:t xml:space="preserve">undertaken in </w:t>
            </w:r>
            <w:r w:rsidRPr="009D70DA">
              <w:t xml:space="preserve">four </w:t>
            </w:r>
            <w:r w:rsidR="009F5B5A" w:rsidRPr="009D70DA">
              <w:t xml:space="preserve">diverse </w:t>
            </w:r>
            <w:r w:rsidRPr="009D70DA">
              <w:t xml:space="preserve">locations across four years </w:t>
            </w:r>
            <w:r w:rsidR="00887EA6" w:rsidRPr="009D70DA">
              <w:t>i</w:t>
            </w:r>
            <w:r w:rsidR="00240C88" w:rsidRPr="009D70DA">
              <w:t>ncludin</w:t>
            </w:r>
            <w:r w:rsidR="00887EA6" w:rsidRPr="009D70DA">
              <w:t>g</w:t>
            </w:r>
            <w:r w:rsidR="009F5B5A" w:rsidRPr="009D70DA">
              <w:t xml:space="preserve"> </w:t>
            </w:r>
            <w:r w:rsidR="00240C88" w:rsidRPr="009D70DA">
              <w:t xml:space="preserve">27 </w:t>
            </w:r>
            <w:r w:rsidR="009F5B5A" w:rsidRPr="009D70DA">
              <w:t>librarians’ perspectives</w:t>
            </w:r>
            <w:r w:rsidR="00887EA6" w:rsidRPr="009D70DA">
              <w:t xml:space="preserve"> of the program.</w:t>
            </w:r>
            <w:r w:rsidR="004E7BC8">
              <w:t xml:space="preserve"> The study was conducted in Western Australia.</w:t>
            </w:r>
          </w:p>
        </w:tc>
        <w:tc>
          <w:tcPr>
            <w:tcW w:w="2669" w:type="dxa"/>
            <w:shd w:val="clear" w:color="auto" w:fill="auto"/>
          </w:tcPr>
          <w:p w14:paraId="71411BDE" w14:textId="62441260" w:rsidR="00E46321" w:rsidRPr="009D70DA" w:rsidRDefault="00AA58EE" w:rsidP="00BE412A">
            <w:r w:rsidRPr="009D70DA">
              <w:t xml:space="preserve">Key findings included librarians </w:t>
            </w:r>
            <w:r w:rsidR="00887EA6" w:rsidRPr="009D70DA">
              <w:t>altered perspective</w:t>
            </w:r>
            <w:r w:rsidRPr="009D70DA">
              <w:t xml:space="preserve"> </w:t>
            </w:r>
            <w:r w:rsidR="00887EA6" w:rsidRPr="009D70DA">
              <w:t xml:space="preserve">over time </w:t>
            </w:r>
            <w:r w:rsidRPr="009D70DA">
              <w:t xml:space="preserve">about the aim of the program from supporting parents to a </w:t>
            </w:r>
            <w:r w:rsidR="00240C88" w:rsidRPr="009D70DA">
              <w:t>cooperative relationship</w:t>
            </w:r>
            <w:r w:rsidRPr="009D70DA">
              <w:t xml:space="preserve"> with parents. The pack’s content</w:t>
            </w:r>
            <w:r w:rsidR="00240C88" w:rsidRPr="009D70DA">
              <w:t>s</w:t>
            </w:r>
            <w:r w:rsidRPr="009D70DA">
              <w:t xml:space="preserve"> evolved </w:t>
            </w:r>
            <w:r w:rsidR="00BE412A" w:rsidRPr="009D70DA">
              <w:t xml:space="preserve">over time </w:t>
            </w:r>
            <w:r w:rsidRPr="009D70DA">
              <w:t>to include different family compositions</w:t>
            </w:r>
            <w:r w:rsidR="00887EA6" w:rsidRPr="009D70DA">
              <w:t>, culture and language</w:t>
            </w:r>
            <w:r w:rsidRPr="009D70DA">
              <w:t>. Stronger links were forged between librarians and child health nurses who mostly delivered the packs. The packs were strongly linked with other library early literacy activities,</w:t>
            </w:r>
            <w:r w:rsidR="00887EA6" w:rsidRPr="009D70DA">
              <w:t xml:space="preserve"> such as Rhyme time and Story time</w:t>
            </w:r>
            <w:r w:rsidR="00BE412A" w:rsidRPr="009D70DA">
              <w:t xml:space="preserve"> activities.</w:t>
            </w:r>
          </w:p>
        </w:tc>
        <w:tc>
          <w:tcPr>
            <w:tcW w:w="1816" w:type="dxa"/>
            <w:shd w:val="clear" w:color="auto" w:fill="auto"/>
          </w:tcPr>
          <w:p w14:paraId="69D71426" w14:textId="30EF127A" w:rsidR="00E46321" w:rsidRPr="009D70DA" w:rsidRDefault="00AA58EE" w:rsidP="007C71A1">
            <w:pPr>
              <w:rPr>
                <w:color w:val="000000"/>
              </w:rPr>
            </w:pPr>
            <w:r w:rsidRPr="009D70DA">
              <w:rPr>
                <w:color w:val="000000"/>
              </w:rPr>
              <w:t>Educational (Early literacy)</w:t>
            </w:r>
          </w:p>
        </w:tc>
        <w:tc>
          <w:tcPr>
            <w:tcW w:w="2754" w:type="dxa"/>
            <w:shd w:val="clear" w:color="auto" w:fill="auto"/>
          </w:tcPr>
          <w:p w14:paraId="7B2CE36C" w14:textId="2703B425" w:rsidR="00E46321" w:rsidRPr="009D70DA" w:rsidRDefault="00AA58EE" w:rsidP="00BE412A">
            <w:r w:rsidRPr="009D70DA">
              <w:rPr>
                <w:i/>
              </w:rPr>
              <w:t xml:space="preserve">Better </w:t>
            </w:r>
            <w:r w:rsidR="00BE412A" w:rsidRPr="009D70DA">
              <w:rPr>
                <w:i/>
              </w:rPr>
              <w:t>B</w:t>
            </w:r>
            <w:r w:rsidRPr="009D70DA">
              <w:rPr>
                <w:i/>
              </w:rPr>
              <w:t>eginning</w:t>
            </w:r>
            <w:r w:rsidRPr="009D70DA">
              <w:t xml:space="preserve"> </w:t>
            </w:r>
            <w:r w:rsidR="00887EA6" w:rsidRPr="009D70DA">
              <w:t>was</w:t>
            </w:r>
            <w:r w:rsidRPr="009D70DA">
              <w:t xml:space="preserve"> considered a successful program with libraries developing a strong sense of ownership. </w:t>
            </w:r>
            <w:r w:rsidR="00BE412A" w:rsidRPr="009D70DA">
              <w:t>Identified was the i</w:t>
            </w:r>
            <w:r w:rsidRPr="009D70DA">
              <w:t xml:space="preserve">mportance of the central coordination and mentoring </w:t>
            </w:r>
            <w:r w:rsidR="00887EA6" w:rsidRPr="009D70DA">
              <w:t>role of the SLWA. Librarians reported a greater understanding of the impact of cooperation on infants’ learning and literacy development and its place in lifelong learning.</w:t>
            </w:r>
          </w:p>
        </w:tc>
      </w:tr>
      <w:tr w:rsidR="00DD2FA3" w:rsidRPr="005F00CB" w14:paraId="3CD6B39B" w14:textId="77777777" w:rsidTr="00825D69">
        <w:tc>
          <w:tcPr>
            <w:tcW w:w="1638" w:type="dxa"/>
            <w:shd w:val="clear" w:color="auto" w:fill="auto"/>
          </w:tcPr>
          <w:p w14:paraId="2C9E6A9E" w14:textId="1C9549CF" w:rsidR="00823F7C" w:rsidRPr="009D70DA" w:rsidRDefault="006562A7" w:rsidP="006562A7">
            <w:r w:rsidRPr="009D70DA">
              <w:rPr>
                <w:rFonts w:eastAsia="Calibri"/>
                <w:bCs/>
                <w:lang w:val="en-AU"/>
              </w:rPr>
              <w:t>Barratt-Pugh &amp; Maloney 2015</w:t>
            </w:r>
          </w:p>
        </w:tc>
        <w:tc>
          <w:tcPr>
            <w:tcW w:w="2319" w:type="dxa"/>
            <w:shd w:val="clear" w:color="auto" w:fill="auto"/>
          </w:tcPr>
          <w:p w14:paraId="546CEB6A" w14:textId="51D0A810" w:rsidR="00823F7C" w:rsidRPr="009D70DA" w:rsidRDefault="006562A7" w:rsidP="006562A7">
            <w:pPr>
              <w:rPr>
                <w:color w:val="000000"/>
              </w:rPr>
            </w:pPr>
            <w:r w:rsidRPr="009D70DA">
              <w:rPr>
                <w:color w:val="000000"/>
              </w:rPr>
              <w:t xml:space="preserve">Investigates the implementation </w:t>
            </w:r>
            <w:r w:rsidR="00E2503E" w:rsidRPr="009D70DA">
              <w:rPr>
                <w:color w:val="000000"/>
              </w:rPr>
              <w:t xml:space="preserve">of </w:t>
            </w:r>
            <w:r w:rsidRPr="009D70DA">
              <w:rPr>
                <w:color w:val="000000"/>
              </w:rPr>
              <w:t xml:space="preserve">SLWA’s </w:t>
            </w:r>
            <w:r w:rsidRPr="009D70DA">
              <w:rPr>
                <w:i/>
                <w:color w:val="000000"/>
              </w:rPr>
              <w:t>Growing Better Beginnings</w:t>
            </w:r>
            <w:r w:rsidRPr="009D70DA">
              <w:rPr>
                <w:color w:val="000000"/>
              </w:rPr>
              <w:t xml:space="preserve"> Program</w:t>
            </w:r>
            <w:r w:rsidR="00E5436B" w:rsidRPr="009D70DA">
              <w:rPr>
                <w:color w:val="000000"/>
              </w:rPr>
              <w:t xml:space="preserve">: an early </w:t>
            </w:r>
            <w:r w:rsidRPr="009D70DA">
              <w:rPr>
                <w:color w:val="000000"/>
              </w:rPr>
              <w:t xml:space="preserve">literacy program for </w:t>
            </w:r>
            <w:r w:rsidRPr="009D70DA">
              <w:rPr>
                <w:color w:val="000000"/>
              </w:rPr>
              <w:lastRenderedPageBreak/>
              <w:t xml:space="preserve">four and five year olds.  </w:t>
            </w:r>
          </w:p>
        </w:tc>
        <w:tc>
          <w:tcPr>
            <w:tcW w:w="2256" w:type="dxa"/>
            <w:shd w:val="clear" w:color="auto" w:fill="auto"/>
          </w:tcPr>
          <w:p w14:paraId="71902E4D" w14:textId="2B11EBD7" w:rsidR="00823F7C" w:rsidRPr="009D70DA" w:rsidRDefault="006562A7" w:rsidP="00B92E64">
            <w:r w:rsidRPr="009D70DA">
              <w:lastRenderedPageBreak/>
              <w:t xml:space="preserve">Survey of 144 parents who received a </w:t>
            </w:r>
            <w:r w:rsidRPr="009D70DA">
              <w:rPr>
                <w:i/>
              </w:rPr>
              <w:t>Better Beginnings</w:t>
            </w:r>
            <w:r w:rsidRPr="009D70DA">
              <w:t xml:space="preserve"> Reading Pack and interviews </w:t>
            </w:r>
            <w:r w:rsidR="00BE412A" w:rsidRPr="009D70DA">
              <w:t xml:space="preserve">conducted </w:t>
            </w:r>
            <w:r w:rsidRPr="009D70DA">
              <w:t xml:space="preserve">with </w:t>
            </w:r>
            <w:r w:rsidR="00B92E64" w:rsidRPr="009D70DA">
              <w:t>21 kindergarten or pre-</w:t>
            </w:r>
            <w:r w:rsidR="00B92E64" w:rsidRPr="009D70DA">
              <w:lastRenderedPageBreak/>
              <w:t xml:space="preserve">primary teachers and five </w:t>
            </w:r>
            <w:r w:rsidRPr="009D70DA">
              <w:t>SLWA librarian coordinators</w:t>
            </w:r>
            <w:r w:rsidR="00B92E64" w:rsidRPr="009D70DA">
              <w:t>.</w:t>
            </w:r>
            <w:r w:rsidR="00C71110">
              <w:t xml:space="preserve"> </w:t>
            </w:r>
          </w:p>
        </w:tc>
        <w:tc>
          <w:tcPr>
            <w:tcW w:w="2669" w:type="dxa"/>
            <w:shd w:val="clear" w:color="auto" w:fill="auto"/>
          </w:tcPr>
          <w:p w14:paraId="434D3649" w14:textId="4C25FBCB" w:rsidR="00823F7C" w:rsidRPr="009D70DA" w:rsidRDefault="006517CE" w:rsidP="00BE412A">
            <w:r w:rsidRPr="009D70DA">
              <w:lastRenderedPageBreak/>
              <w:t xml:space="preserve">In general, parents welcomed the reading pack and </w:t>
            </w:r>
            <w:r w:rsidR="00E2503E" w:rsidRPr="009D70DA">
              <w:t xml:space="preserve">the </w:t>
            </w:r>
            <w:r w:rsidRPr="009D70DA">
              <w:t xml:space="preserve">majority confirmed its usefulness in supporting home literacy practices. </w:t>
            </w:r>
            <w:r w:rsidR="00BE412A" w:rsidRPr="009D70DA">
              <w:t>Most</w:t>
            </w:r>
            <w:r w:rsidR="008D13CB" w:rsidRPr="009D70DA">
              <w:t xml:space="preserve"> teachers reported </w:t>
            </w:r>
            <w:r w:rsidR="00B92E64" w:rsidRPr="009D70DA">
              <w:t>the</w:t>
            </w:r>
            <w:r w:rsidR="008D13CB" w:rsidRPr="009D70DA">
              <w:t xml:space="preserve"> </w:t>
            </w:r>
            <w:r w:rsidR="008D13CB" w:rsidRPr="009D70DA">
              <w:lastRenderedPageBreak/>
              <w:t xml:space="preserve">program </w:t>
            </w:r>
            <w:r w:rsidR="00B92E64" w:rsidRPr="009D70DA">
              <w:t>a</w:t>
            </w:r>
            <w:r w:rsidR="008D13CB" w:rsidRPr="009D70DA">
              <w:t>s consistent with classroom early literacy activities with links to curriculum outcomes.</w:t>
            </w:r>
            <w:r w:rsidRPr="009D70DA">
              <w:t xml:space="preserve"> </w:t>
            </w:r>
            <w:r w:rsidR="00E2503E" w:rsidRPr="009D70DA">
              <w:t xml:space="preserve">Librarians in general while very supportive of the program </w:t>
            </w:r>
            <w:r w:rsidR="00B92E64" w:rsidRPr="009D70DA">
              <w:t xml:space="preserve">also </w:t>
            </w:r>
            <w:r w:rsidR="00BE412A" w:rsidRPr="009D70DA">
              <w:t>reported a positive</w:t>
            </w:r>
            <w:r w:rsidR="00E2503E" w:rsidRPr="009D70DA">
              <w:t xml:space="preserve"> connections </w:t>
            </w:r>
            <w:r w:rsidR="00BE412A" w:rsidRPr="009D70DA">
              <w:t>to</w:t>
            </w:r>
            <w:r w:rsidR="00B92E64" w:rsidRPr="009D70DA">
              <w:t xml:space="preserve"> </w:t>
            </w:r>
            <w:r w:rsidR="00BE412A" w:rsidRPr="009D70DA">
              <w:t xml:space="preserve">participating </w:t>
            </w:r>
            <w:r w:rsidR="00B92E64" w:rsidRPr="009D70DA">
              <w:t>schools</w:t>
            </w:r>
            <w:r w:rsidR="00FD045F">
              <w:t>.</w:t>
            </w:r>
            <w:r w:rsidR="00B92E64" w:rsidRPr="009D70DA">
              <w:t xml:space="preserve"> However,</w:t>
            </w:r>
            <w:r w:rsidR="00E2503E" w:rsidRPr="009D70DA">
              <w:t xml:space="preserve"> librarians </w:t>
            </w:r>
            <w:r w:rsidR="00BE412A" w:rsidRPr="009D70DA">
              <w:t>not</w:t>
            </w:r>
            <w:r w:rsidR="00E2503E" w:rsidRPr="009D70DA">
              <w:t xml:space="preserve">ed some logistical </w:t>
            </w:r>
            <w:r w:rsidR="00B92E64" w:rsidRPr="009D70DA">
              <w:t xml:space="preserve">and communication </w:t>
            </w:r>
            <w:r w:rsidR="00E2503E" w:rsidRPr="009D70DA">
              <w:t>challenges between schools and libraries.</w:t>
            </w:r>
          </w:p>
        </w:tc>
        <w:tc>
          <w:tcPr>
            <w:tcW w:w="1816" w:type="dxa"/>
            <w:shd w:val="clear" w:color="auto" w:fill="auto"/>
          </w:tcPr>
          <w:p w14:paraId="0428612B" w14:textId="061076A6" w:rsidR="00823F7C" w:rsidRPr="009D70DA" w:rsidRDefault="00E5436B" w:rsidP="007C71A1">
            <w:pPr>
              <w:rPr>
                <w:color w:val="000000"/>
              </w:rPr>
            </w:pPr>
            <w:r w:rsidRPr="009D70DA">
              <w:rPr>
                <w:color w:val="000000"/>
              </w:rPr>
              <w:lastRenderedPageBreak/>
              <w:t>Educational (Early literacy)</w:t>
            </w:r>
          </w:p>
        </w:tc>
        <w:tc>
          <w:tcPr>
            <w:tcW w:w="2754" w:type="dxa"/>
            <w:shd w:val="clear" w:color="auto" w:fill="auto"/>
          </w:tcPr>
          <w:p w14:paraId="1C246F83" w14:textId="686A662C" w:rsidR="00823F7C" w:rsidRPr="009D70DA" w:rsidRDefault="008639D9" w:rsidP="001041DB">
            <w:r w:rsidRPr="009D70DA">
              <w:t xml:space="preserve">The program was positively received by identified stakeholders. </w:t>
            </w:r>
            <w:r w:rsidR="008D13CB" w:rsidRPr="009D70DA">
              <w:t xml:space="preserve">Central coordination by SLWA of the </w:t>
            </w:r>
            <w:r w:rsidR="00E2503E" w:rsidRPr="009D70DA">
              <w:rPr>
                <w:i/>
              </w:rPr>
              <w:t>B</w:t>
            </w:r>
            <w:r w:rsidR="008D13CB" w:rsidRPr="009D70DA">
              <w:rPr>
                <w:i/>
              </w:rPr>
              <w:t>etter Beginning</w:t>
            </w:r>
            <w:r w:rsidR="008D13CB" w:rsidRPr="009D70DA">
              <w:t xml:space="preserve"> (0-3 years) program had enable</w:t>
            </w:r>
            <w:r w:rsidR="001041DB">
              <w:t>d</w:t>
            </w:r>
            <w:r w:rsidR="008D13CB" w:rsidRPr="009D70DA">
              <w:t xml:space="preserve"> the </w:t>
            </w:r>
            <w:r w:rsidR="008D13CB" w:rsidRPr="009D70DA">
              <w:lastRenderedPageBreak/>
              <w:t xml:space="preserve">development </w:t>
            </w:r>
            <w:r w:rsidRPr="009D70DA">
              <w:t xml:space="preserve">and management </w:t>
            </w:r>
            <w:r w:rsidR="008D13CB" w:rsidRPr="009D70DA">
              <w:t xml:space="preserve">of </w:t>
            </w:r>
            <w:r w:rsidR="008D13CB" w:rsidRPr="009D70DA">
              <w:rPr>
                <w:i/>
              </w:rPr>
              <w:t xml:space="preserve">Growing Better </w:t>
            </w:r>
            <w:r w:rsidR="00E2503E" w:rsidRPr="009D70DA">
              <w:rPr>
                <w:i/>
              </w:rPr>
              <w:t>Beginnings</w:t>
            </w:r>
            <w:r w:rsidR="008D13CB" w:rsidRPr="009D70DA">
              <w:t xml:space="preserve">. </w:t>
            </w:r>
            <w:r w:rsidRPr="009D70DA">
              <w:t xml:space="preserve">This </w:t>
            </w:r>
            <w:r w:rsidR="008D13CB" w:rsidRPr="009D70DA">
              <w:t>coordination</w:t>
            </w:r>
            <w:r w:rsidR="00E2503E" w:rsidRPr="009D70DA">
              <w:t xml:space="preserve"> enabled c</w:t>
            </w:r>
            <w:r w:rsidR="008D13CB" w:rsidRPr="009D70DA">
              <w:t xml:space="preserve">onsistent </w:t>
            </w:r>
            <w:r w:rsidRPr="009D70DA">
              <w:t>aims and e</w:t>
            </w:r>
            <w:r w:rsidR="00BE412A" w:rsidRPr="009D70DA">
              <w:t>nsured</w:t>
            </w:r>
            <w:r w:rsidRPr="009D70DA">
              <w:t xml:space="preserve"> that the program </w:t>
            </w:r>
            <w:r w:rsidR="00BE412A" w:rsidRPr="009D70DA">
              <w:t>remained</w:t>
            </w:r>
            <w:r w:rsidRPr="009D70DA">
              <w:t xml:space="preserve"> appropriate. The project fostered better relationship</w:t>
            </w:r>
            <w:r w:rsidR="00E5436B" w:rsidRPr="009D70DA">
              <w:t>s</w:t>
            </w:r>
            <w:r w:rsidRPr="009D70DA">
              <w:t xml:space="preserve"> between the school and library personnel at state and local levels.  </w:t>
            </w:r>
          </w:p>
        </w:tc>
      </w:tr>
      <w:tr w:rsidR="00DD2FA3" w:rsidRPr="005F00CB" w14:paraId="5D3ADC42" w14:textId="77777777" w:rsidTr="00825D69">
        <w:tc>
          <w:tcPr>
            <w:tcW w:w="1638" w:type="dxa"/>
            <w:shd w:val="clear" w:color="auto" w:fill="auto"/>
          </w:tcPr>
          <w:p w14:paraId="5F56849D" w14:textId="77777777" w:rsidR="00F45873" w:rsidRPr="009D70DA" w:rsidRDefault="00F45873" w:rsidP="007C71A1">
            <w:r w:rsidRPr="009D70DA">
              <w:t>Brewster 2014</w:t>
            </w:r>
          </w:p>
        </w:tc>
        <w:tc>
          <w:tcPr>
            <w:tcW w:w="2319" w:type="dxa"/>
            <w:shd w:val="clear" w:color="auto" w:fill="auto"/>
          </w:tcPr>
          <w:p w14:paraId="152A6297" w14:textId="77777777" w:rsidR="00F45873" w:rsidRPr="009D70DA" w:rsidRDefault="00F45873" w:rsidP="007C71A1">
            <w:pPr>
              <w:rPr>
                <w:color w:val="000000"/>
              </w:rPr>
            </w:pPr>
            <w:r w:rsidRPr="009D70DA">
              <w:rPr>
                <w:color w:val="000000"/>
              </w:rPr>
              <w:t>Explores the role of the public library for service users with mental health issues and questions whether the public library forms part of a ‘therapeutic landscape’.</w:t>
            </w:r>
          </w:p>
        </w:tc>
        <w:tc>
          <w:tcPr>
            <w:tcW w:w="2256" w:type="dxa"/>
            <w:shd w:val="clear" w:color="auto" w:fill="auto"/>
          </w:tcPr>
          <w:p w14:paraId="1614EF62" w14:textId="79B26667" w:rsidR="00F45873" w:rsidRPr="009D70DA" w:rsidRDefault="00F45873" w:rsidP="007C71A1">
            <w:r w:rsidRPr="009D70DA">
              <w:t>Qualitative study conducted with 16 people who self-identified mental health issues.</w:t>
            </w:r>
            <w:r w:rsidR="00C71110">
              <w:t xml:space="preserve"> The study was conducted in the UK.</w:t>
            </w:r>
            <w:r w:rsidRPr="009D70DA">
              <w:t xml:space="preserve"> </w:t>
            </w:r>
          </w:p>
        </w:tc>
        <w:tc>
          <w:tcPr>
            <w:tcW w:w="2669" w:type="dxa"/>
            <w:shd w:val="clear" w:color="auto" w:fill="auto"/>
          </w:tcPr>
          <w:p w14:paraId="3C3042BE" w14:textId="6C3C504F" w:rsidR="00F45873" w:rsidRPr="009D70DA" w:rsidRDefault="00F45873" w:rsidP="00167F1E">
            <w:r w:rsidRPr="009D70DA">
              <w:t xml:space="preserve">Three common themes emerged. The library was assessed as: familiar, open and welcoming; comforting and calming; and empowering. </w:t>
            </w:r>
            <w:r w:rsidR="00167F1E" w:rsidRPr="009D70DA">
              <w:t>The t</w:t>
            </w:r>
            <w:r w:rsidRPr="009D70DA">
              <w:t xml:space="preserve">herapeutic value of library was as a safe space during acute stress. </w:t>
            </w:r>
          </w:p>
        </w:tc>
        <w:tc>
          <w:tcPr>
            <w:tcW w:w="1816" w:type="dxa"/>
            <w:shd w:val="clear" w:color="auto" w:fill="auto"/>
          </w:tcPr>
          <w:p w14:paraId="227D3915" w14:textId="7582FEB2" w:rsidR="00F45873" w:rsidRPr="009D70DA" w:rsidRDefault="00E51950" w:rsidP="00AC1EB5">
            <w:pPr>
              <w:rPr>
                <w:color w:val="000000"/>
              </w:rPr>
            </w:pPr>
            <w:r w:rsidRPr="009D70DA">
              <w:rPr>
                <w:color w:val="000000"/>
              </w:rPr>
              <w:t xml:space="preserve">Social </w:t>
            </w:r>
            <w:r w:rsidR="00E5436B" w:rsidRPr="009D70DA">
              <w:rPr>
                <w:color w:val="000000"/>
              </w:rPr>
              <w:t>(</w:t>
            </w:r>
            <w:r w:rsidR="00AC1EB5" w:rsidRPr="009D70DA">
              <w:rPr>
                <w:color w:val="000000"/>
              </w:rPr>
              <w:t>h</w:t>
            </w:r>
            <w:r w:rsidR="00E5436B" w:rsidRPr="009D70DA">
              <w:rPr>
                <w:color w:val="000000"/>
              </w:rPr>
              <w:t>ealth and wellbeing)</w:t>
            </w:r>
          </w:p>
        </w:tc>
        <w:tc>
          <w:tcPr>
            <w:tcW w:w="2754" w:type="dxa"/>
            <w:shd w:val="clear" w:color="auto" w:fill="auto"/>
          </w:tcPr>
          <w:p w14:paraId="3903AE1A" w14:textId="131EE924" w:rsidR="00F45873" w:rsidRPr="009D70DA" w:rsidRDefault="00F45873" w:rsidP="00F455C8">
            <w:r w:rsidRPr="009D70DA">
              <w:t xml:space="preserve">More research </w:t>
            </w:r>
            <w:r w:rsidR="00F455C8" w:rsidRPr="009D70DA">
              <w:t>required on the</w:t>
            </w:r>
            <w:r w:rsidRPr="009D70DA">
              <w:t xml:space="preserve"> beneficial impact</w:t>
            </w:r>
            <w:r w:rsidR="00F455C8" w:rsidRPr="009D70DA">
              <w:t>s</w:t>
            </w:r>
            <w:r w:rsidRPr="009D70DA">
              <w:t xml:space="preserve"> of libraries as a safe space for everyday management of stress (mental health).</w:t>
            </w:r>
          </w:p>
        </w:tc>
      </w:tr>
      <w:tr w:rsidR="00DD2FA3" w:rsidRPr="005F00CB" w14:paraId="799D8205" w14:textId="77777777" w:rsidTr="00825D69">
        <w:tc>
          <w:tcPr>
            <w:tcW w:w="1638" w:type="dxa"/>
            <w:shd w:val="clear" w:color="auto" w:fill="auto"/>
          </w:tcPr>
          <w:p w14:paraId="1ECEE0B6" w14:textId="77777777" w:rsidR="00F45873" w:rsidRPr="009D70DA" w:rsidRDefault="00F45873" w:rsidP="007C71A1">
            <w:pPr>
              <w:rPr>
                <w:rFonts w:eastAsiaTheme="minorHAnsi"/>
                <w:lang w:val="en-AU"/>
              </w:rPr>
            </w:pPr>
            <w:r w:rsidRPr="009D70DA">
              <w:rPr>
                <w:rFonts w:eastAsiaTheme="minorHAnsi"/>
                <w:lang w:val="en-AU"/>
              </w:rPr>
              <w:t>Ferguson 2012</w:t>
            </w:r>
          </w:p>
        </w:tc>
        <w:tc>
          <w:tcPr>
            <w:tcW w:w="2319" w:type="dxa"/>
            <w:shd w:val="clear" w:color="auto" w:fill="auto"/>
          </w:tcPr>
          <w:p w14:paraId="018F6A4E" w14:textId="1667F2AE" w:rsidR="00F45873" w:rsidRPr="009D70DA" w:rsidRDefault="00F45873" w:rsidP="007C71A1">
            <w:pPr>
              <w:rPr>
                <w:color w:val="000000"/>
              </w:rPr>
            </w:pPr>
            <w:r w:rsidRPr="009D70DA">
              <w:rPr>
                <w:color w:val="000000"/>
              </w:rPr>
              <w:t xml:space="preserve">Questions the claims that public libraries are generators of social capital through </w:t>
            </w:r>
            <w:r w:rsidRPr="009D70DA">
              <w:rPr>
                <w:color w:val="000000"/>
              </w:rPr>
              <w:lastRenderedPageBreak/>
              <w:t>civic engagement and social networks</w:t>
            </w:r>
            <w:r w:rsidR="006827F1" w:rsidRPr="009D70DA">
              <w:rPr>
                <w:color w:val="000000"/>
              </w:rPr>
              <w:t>.</w:t>
            </w:r>
          </w:p>
        </w:tc>
        <w:tc>
          <w:tcPr>
            <w:tcW w:w="2256" w:type="dxa"/>
            <w:shd w:val="clear" w:color="auto" w:fill="auto"/>
          </w:tcPr>
          <w:p w14:paraId="75EDF10C" w14:textId="77777777" w:rsidR="00F45873" w:rsidRPr="009D70DA" w:rsidRDefault="00F45873" w:rsidP="007C71A1">
            <w:r w:rsidRPr="009D70DA">
              <w:lastRenderedPageBreak/>
              <w:t>Literature review</w:t>
            </w:r>
          </w:p>
        </w:tc>
        <w:tc>
          <w:tcPr>
            <w:tcW w:w="2669" w:type="dxa"/>
            <w:shd w:val="clear" w:color="auto" w:fill="auto"/>
          </w:tcPr>
          <w:p w14:paraId="44455AD6" w14:textId="06E9D8C2" w:rsidR="00F45873" w:rsidRPr="009D70DA" w:rsidRDefault="00F45873" w:rsidP="007C71A1">
            <w:r w:rsidRPr="009D70DA">
              <w:t xml:space="preserve">Libraries build social capital by providing meeting places, access to equipment, information, internet and ICT as well </w:t>
            </w:r>
            <w:r w:rsidRPr="009D70DA">
              <w:lastRenderedPageBreak/>
              <w:t xml:space="preserve">as a range of literacy skills and opportunities for lifelong learning. Libraries also play an important role in developing and supporting information literate communities, particularly for those who are </w:t>
            </w:r>
            <w:r w:rsidR="00B81C70">
              <w:t>marginalized or ‘at risk’</w:t>
            </w:r>
            <w:r w:rsidRPr="009D70DA">
              <w:t xml:space="preserve">. </w:t>
            </w:r>
          </w:p>
        </w:tc>
        <w:tc>
          <w:tcPr>
            <w:tcW w:w="1816" w:type="dxa"/>
            <w:shd w:val="clear" w:color="auto" w:fill="auto"/>
          </w:tcPr>
          <w:p w14:paraId="33BAA453" w14:textId="01B3CEE3" w:rsidR="00F45873" w:rsidRPr="009D70DA" w:rsidRDefault="00F45873" w:rsidP="00AC1EB5">
            <w:pPr>
              <w:rPr>
                <w:color w:val="000000"/>
              </w:rPr>
            </w:pPr>
            <w:r w:rsidRPr="009D70DA">
              <w:rPr>
                <w:color w:val="000000"/>
              </w:rPr>
              <w:lastRenderedPageBreak/>
              <w:t xml:space="preserve">Social </w:t>
            </w:r>
            <w:r w:rsidR="00AC1EB5" w:rsidRPr="009D70DA">
              <w:rPr>
                <w:color w:val="000000"/>
              </w:rPr>
              <w:t>(social c</w:t>
            </w:r>
            <w:r w:rsidRPr="009D70DA">
              <w:rPr>
                <w:color w:val="000000"/>
              </w:rPr>
              <w:t>apital</w:t>
            </w:r>
            <w:r w:rsidR="00AC1EB5" w:rsidRPr="009D70DA">
              <w:rPr>
                <w:color w:val="000000"/>
              </w:rPr>
              <w:t>)</w:t>
            </w:r>
          </w:p>
        </w:tc>
        <w:tc>
          <w:tcPr>
            <w:tcW w:w="2754" w:type="dxa"/>
            <w:shd w:val="clear" w:color="auto" w:fill="auto"/>
          </w:tcPr>
          <w:p w14:paraId="1A3EE32A" w14:textId="172285E2" w:rsidR="00F45873" w:rsidRPr="009D70DA" w:rsidRDefault="00B81C70" w:rsidP="00B81C70">
            <w:r w:rsidRPr="005D0524">
              <w:t xml:space="preserve">There are indications that public libraries contribute to the stock of social capital due to being universal and impartial </w:t>
            </w:r>
            <w:r w:rsidRPr="005D0524">
              <w:lastRenderedPageBreak/>
              <w:t xml:space="preserve">public institutions. If libraries are to build social capital they need </w:t>
            </w:r>
            <w:r w:rsidR="001041DB">
              <w:t xml:space="preserve">to </w:t>
            </w:r>
            <w:r>
              <w:t>work with voluntary association, develop their capacity as impartial /informal meeting places, be more accessible to new user groups particularly those marginalized or ‘at risk’ within the community and engage with ethnic groups to understand the groups’ existing social capital</w:t>
            </w:r>
            <w:r w:rsidR="001041DB">
              <w:t>.</w:t>
            </w:r>
          </w:p>
        </w:tc>
      </w:tr>
      <w:tr w:rsidR="00DD2FA3" w:rsidRPr="005F00CB" w14:paraId="097126D1" w14:textId="77777777" w:rsidTr="00825D69">
        <w:tc>
          <w:tcPr>
            <w:tcW w:w="1638" w:type="dxa"/>
            <w:shd w:val="clear" w:color="auto" w:fill="auto"/>
          </w:tcPr>
          <w:p w14:paraId="3AC19FB4" w14:textId="79C9D608" w:rsidR="00F45873" w:rsidRPr="009D70DA" w:rsidRDefault="00F45873" w:rsidP="00167F1E">
            <w:r w:rsidRPr="009D70DA">
              <w:t>Freeman &amp; Bromley 201</w:t>
            </w:r>
            <w:r w:rsidR="00167F1E" w:rsidRPr="009D70DA">
              <w:t>8</w:t>
            </w:r>
          </w:p>
        </w:tc>
        <w:tc>
          <w:tcPr>
            <w:tcW w:w="2319" w:type="dxa"/>
            <w:shd w:val="clear" w:color="auto" w:fill="auto"/>
          </w:tcPr>
          <w:p w14:paraId="31188945" w14:textId="77777777" w:rsidR="00F45873" w:rsidRPr="009D70DA" w:rsidRDefault="00F45873" w:rsidP="007C71A1">
            <w:pPr>
              <w:rPr>
                <w:color w:val="000000"/>
              </w:rPr>
            </w:pPr>
            <w:r w:rsidRPr="009D70DA">
              <w:rPr>
                <w:color w:val="000000"/>
              </w:rPr>
              <w:t>Provides a new perspective on the interplay between public institutions, their management, and the deﬁnition and performance of ‘the public’ that the library serves through analysis of its sleeping policy.</w:t>
            </w:r>
          </w:p>
        </w:tc>
        <w:tc>
          <w:tcPr>
            <w:tcW w:w="2256" w:type="dxa"/>
            <w:shd w:val="clear" w:color="auto" w:fill="auto"/>
          </w:tcPr>
          <w:p w14:paraId="1556DD7B" w14:textId="5BB1AF5F" w:rsidR="00F45873" w:rsidRPr="009D70DA" w:rsidRDefault="00F45873" w:rsidP="007C71A1">
            <w:r w:rsidRPr="009D70DA">
              <w:t>Semi-structured interviews (library staff and board members of Edmonton Pubic Library</w:t>
            </w:r>
            <w:r w:rsidR="001041DB">
              <w:t xml:space="preserve"> in Alberta, Canada</w:t>
            </w:r>
            <w:r w:rsidRPr="009D70DA">
              <w:t>)</w:t>
            </w:r>
            <w:r w:rsidR="001041DB">
              <w:t>.</w:t>
            </w:r>
          </w:p>
        </w:tc>
        <w:tc>
          <w:tcPr>
            <w:tcW w:w="2669" w:type="dxa"/>
            <w:shd w:val="clear" w:color="auto" w:fill="auto"/>
          </w:tcPr>
          <w:p w14:paraId="407B811D" w14:textId="6CA5E807" w:rsidR="00F45873" w:rsidRPr="009D70DA" w:rsidRDefault="00F45873" w:rsidP="006827F1">
            <w:r w:rsidRPr="009D70DA">
              <w:t>Allowing people to sleep in the library was a response to deficiencies in the social welfare state. Questioned was whether this was a private or public space</w:t>
            </w:r>
            <w:r w:rsidRPr="009D70DA">
              <w:rPr>
                <w:lang w:val="en-AU"/>
              </w:rPr>
              <w:t xml:space="preserve"> behaviour</w:t>
            </w:r>
            <w:r w:rsidRPr="009D70DA">
              <w:t xml:space="preserve">. </w:t>
            </w:r>
            <w:r w:rsidR="006827F1" w:rsidRPr="009D70DA">
              <w:t>A ‘no</w:t>
            </w:r>
            <w:r w:rsidRPr="009D70DA">
              <w:t xml:space="preserve"> sleeping</w:t>
            </w:r>
            <w:r w:rsidR="006827F1" w:rsidRPr="009D70DA">
              <w:t>’</w:t>
            </w:r>
            <w:r w:rsidRPr="009D70DA">
              <w:t xml:space="preserve"> policy </w:t>
            </w:r>
            <w:r w:rsidR="001041DB">
              <w:t xml:space="preserve">was </w:t>
            </w:r>
            <w:r w:rsidRPr="009D70DA">
              <w:t>enforced to construct rules and parameters around the normative use of public space.</w:t>
            </w:r>
          </w:p>
        </w:tc>
        <w:tc>
          <w:tcPr>
            <w:tcW w:w="1816" w:type="dxa"/>
            <w:shd w:val="clear" w:color="auto" w:fill="auto"/>
          </w:tcPr>
          <w:p w14:paraId="5D150FAC" w14:textId="3DB37120" w:rsidR="00F45873" w:rsidRPr="009D70DA" w:rsidRDefault="00E5436B" w:rsidP="00E51950">
            <w:pPr>
              <w:rPr>
                <w:color w:val="000000"/>
              </w:rPr>
            </w:pPr>
            <w:r w:rsidRPr="009D70DA">
              <w:rPr>
                <w:color w:val="000000"/>
              </w:rPr>
              <w:t>Institutional (</w:t>
            </w:r>
            <w:r w:rsidR="00E51950" w:rsidRPr="009D70DA">
              <w:rPr>
                <w:color w:val="000000"/>
              </w:rPr>
              <w:t>p</w:t>
            </w:r>
            <w:r w:rsidR="00F45873" w:rsidRPr="009D70DA">
              <w:rPr>
                <w:color w:val="000000"/>
              </w:rPr>
              <w:t>ublic space</w:t>
            </w:r>
            <w:r w:rsidRPr="009D70DA">
              <w:rPr>
                <w:color w:val="000000"/>
              </w:rPr>
              <w:t>)</w:t>
            </w:r>
          </w:p>
        </w:tc>
        <w:tc>
          <w:tcPr>
            <w:tcW w:w="2754" w:type="dxa"/>
            <w:shd w:val="clear" w:color="auto" w:fill="auto"/>
          </w:tcPr>
          <w:p w14:paraId="0C072708" w14:textId="0CC437C4" w:rsidR="00F45873" w:rsidRPr="009D70DA" w:rsidRDefault="00F45873" w:rsidP="00E67D14">
            <w:r w:rsidRPr="009D70DA">
              <w:t>Libraries are evolving public institutions,</w:t>
            </w:r>
            <w:r w:rsidR="001041DB">
              <w:t xml:space="preserve"> while</w:t>
            </w:r>
            <w:r w:rsidRPr="009D70DA">
              <w:t xml:space="preserve"> neo-liberal shifts have led to crises such as homelessness</w:t>
            </w:r>
            <w:r w:rsidR="006827F1" w:rsidRPr="009D70DA">
              <w:t>. The</w:t>
            </w:r>
            <w:r w:rsidRPr="009D70DA">
              <w:t xml:space="preserve"> library is an essential enactment</w:t>
            </w:r>
            <w:r w:rsidR="00E67D14" w:rsidRPr="009D70DA">
              <w:t xml:space="preserve"> site</w:t>
            </w:r>
            <w:r w:rsidRPr="009D70DA">
              <w:t xml:space="preserve"> of public property in an urban environment. Policies regulating whether homeless people can </w:t>
            </w:r>
            <w:r w:rsidR="00E67D14" w:rsidRPr="009D70DA">
              <w:t>doss</w:t>
            </w:r>
            <w:r w:rsidRPr="009D70DA">
              <w:t xml:space="preserve"> in the library highlight the complex role of state agents (</w:t>
            </w:r>
            <w:r w:rsidR="001041DB">
              <w:t xml:space="preserve">e.g. </w:t>
            </w:r>
            <w:r w:rsidRPr="009D70DA">
              <w:lastRenderedPageBreak/>
              <w:t>librarians) in navigating these tensions.</w:t>
            </w:r>
          </w:p>
        </w:tc>
      </w:tr>
      <w:tr w:rsidR="00DD2FA3" w:rsidRPr="005F00CB" w14:paraId="5120F4CB" w14:textId="77777777" w:rsidTr="00825D69">
        <w:tc>
          <w:tcPr>
            <w:tcW w:w="1638" w:type="dxa"/>
            <w:shd w:val="clear" w:color="auto" w:fill="auto"/>
          </w:tcPr>
          <w:p w14:paraId="037724B3" w14:textId="1E53CFE5" w:rsidR="00F45873" w:rsidRPr="009D70DA" w:rsidRDefault="00F45873" w:rsidP="009A5111">
            <w:proofErr w:type="spellStart"/>
            <w:r w:rsidRPr="009D70DA">
              <w:rPr>
                <w:rFonts w:eastAsiaTheme="minorHAnsi"/>
                <w:lang w:val="en-AU"/>
              </w:rPr>
              <w:t>Halpin</w:t>
            </w:r>
            <w:proofErr w:type="spellEnd"/>
            <w:r w:rsidRPr="009D70DA">
              <w:rPr>
                <w:rFonts w:eastAsiaTheme="minorHAnsi"/>
                <w:lang w:val="en-AU"/>
              </w:rPr>
              <w:t>, R</w:t>
            </w:r>
            <w:r w:rsidR="009A5111" w:rsidRPr="009D70DA">
              <w:rPr>
                <w:rFonts w:eastAsiaTheme="minorHAnsi"/>
                <w:lang w:val="en-AU"/>
              </w:rPr>
              <w:t xml:space="preserve">ankin, Chapman &amp; Walker </w:t>
            </w:r>
            <w:r w:rsidRPr="009D70DA">
              <w:rPr>
                <w:rFonts w:eastAsiaTheme="minorHAnsi"/>
                <w:lang w:val="en-AU"/>
              </w:rPr>
              <w:t>2015</w:t>
            </w:r>
          </w:p>
        </w:tc>
        <w:tc>
          <w:tcPr>
            <w:tcW w:w="2319" w:type="dxa"/>
            <w:shd w:val="clear" w:color="auto" w:fill="auto"/>
          </w:tcPr>
          <w:p w14:paraId="0CC79569" w14:textId="4B676C02" w:rsidR="00F45873" w:rsidRPr="009D70DA" w:rsidRDefault="00F45873" w:rsidP="00521481">
            <w:pPr>
              <w:rPr>
                <w:color w:val="000000"/>
              </w:rPr>
            </w:pPr>
            <w:r w:rsidRPr="009D70DA">
              <w:rPr>
                <w:color w:val="000000"/>
              </w:rPr>
              <w:t xml:space="preserve">Investigates </w:t>
            </w:r>
            <w:r w:rsidR="001E5163" w:rsidRPr="009D70DA">
              <w:rPr>
                <w:color w:val="000000"/>
              </w:rPr>
              <w:t xml:space="preserve">the </w:t>
            </w:r>
            <w:r w:rsidR="00C750E6" w:rsidRPr="009D70DA">
              <w:rPr>
                <w:color w:val="000000"/>
              </w:rPr>
              <w:t xml:space="preserve">valuing and </w:t>
            </w:r>
            <w:r w:rsidR="001E5163" w:rsidRPr="009D70DA">
              <w:rPr>
                <w:color w:val="000000"/>
              </w:rPr>
              <w:t>value</w:t>
            </w:r>
            <w:r w:rsidR="00C750E6" w:rsidRPr="009D70DA">
              <w:rPr>
                <w:color w:val="000000"/>
              </w:rPr>
              <w:t>s underpinning the public library</w:t>
            </w:r>
            <w:r w:rsidR="001E5163" w:rsidRPr="009D70DA">
              <w:rPr>
                <w:color w:val="000000"/>
              </w:rPr>
              <w:t xml:space="preserve"> </w:t>
            </w:r>
            <w:r w:rsidR="00C750E6" w:rsidRPr="009D70DA">
              <w:rPr>
                <w:color w:val="000000"/>
              </w:rPr>
              <w:t>service</w:t>
            </w:r>
            <w:r w:rsidR="001041DB">
              <w:rPr>
                <w:color w:val="000000"/>
              </w:rPr>
              <w:t>.</w:t>
            </w:r>
            <w:r w:rsidRPr="009D70DA">
              <w:rPr>
                <w:color w:val="000000"/>
              </w:rPr>
              <w:t xml:space="preserve"> </w:t>
            </w:r>
          </w:p>
        </w:tc>
        <w:tc>
          <w:tcPr>
            <w:tcW w:w="2256" w:type="dxa"/>
            <w:shd w:val="clear" w:color="auto" w:fill="auto"/>
          </w:tcPr>
          <w:p w14:paraId="5FBBA154" w14:textId="336FD1AB" w:rsidR="00F45873" w:rsidRPr="009D70DA" w:rsidRDefault="00F45873" w:rsidP="001E5163">
            <w:r w:rsidRPr="009D70DA">
              <w:t xml:space="preserve">Nineteen </w:t>
            </w:r>
            <w:r w:rsidR="001E5163" w:rsidRPr="009D70DA">
              <w:t xml:space="preserve">key library stakeholders </w:t>
            </w:r>
            <w:r w:rsidRPr="009D70DA">
              <w:t>using</w:t>
            </w:r>
            <w:r w:rsidR="001E5163" w:rsidRPr="009D70DA">
              <w:t xml:space="preserve"> a group</w:t>
            </w:r>
            <w:r w:rsidRPr="009D70DA">
              <w:t xml:space="preserve"> Delphi technique involving a number of questionnaires using multiple </w:t>
            </w:r>
            <w:r w:rsidRPr="001041DB">
              <w:t>iterations</w:t>
            </w:r>
            <w:r w:rsidR="00C71110">
              <w:t>. The study was conducted in the UK.</w:t>
            </w:r>
          </w:p>
        </w:tc>
        <w:tc>
          <w:tcPr>
            <w:tcW w:w="2669" w:type="dxa"/>
            <w:shd w:val="clear" w:color="auto" w:fill="auto"/>
          </w:tcPr>
          <w:p w14:paraId="3C28F898" w14:textId="07DA99E2" w:rsidR="000237C6" w:rsidRPr="009D70DA" w:rsidRDefault="00F45873" w:rsidP="00295E60">
            <w:r w:rsidRPr="009D70DA">
              <w:t xml:space="preserve">The value of libraries was considered to be more than monetary, </w:t>
            </w:r>
            <w:r w:rsidR="000237C6" w:rsidRPr="009D70DA">
              <w:t xml:space="preserve">as participants considered that libraries value-added to the wider community. </w:t>
            </w:r>
            <w:r w:rsidR="00295E60" w:rsidRPr="009D70DA">
              <w:t>The g</w:t>
            </w:r>
            <w:r w:rsidR="000237C6" w:rsidRPr="009D70DA">
              <w:t xml:space="preserve">eneral view was that libraries play a crucial part in the fabric of communities and in the lives of many people. Benefits were seen as social, economic and educational. </w:t>
            </w:r>
            <w:r w:rsidR="00C750E6" w:rsidRPr="009D70DA">
              <w:t xml:space="preserve">Libraries were assessed as playing a crucial role in </w:t>
            </w:r>
            <w:r w:rsidRPr="009D70DA">
              <w:t>many communities as free, accessible</w:t>
            </w:r>
            <w:r w:rsidR="00295E60" w:rsidRPr="009D70DA">
              <w:t xml:space="preserve"> (unbiased and </w:t>
            </w:r>
            <w:r w:rsidR="006E2864" w:rsidRPr="009D70DA">
              <w:t>non-judgmental</w:t>
            </w:r>
            <w:r w:rsidR="00295E60" w:rsidRPr="009D70DA">
              <w:t>)</w:t>
            </w:r>
            <w:r w:rsidRPr="009D70DA">
              <w:t>, safe, neutral space</w:t>
            </w:r>
            <w:r w:rsidR="001041DB">
              <w:t>s</w:t>
            </w:r>
            <w:r w:rsidRPr="009D70DA">
              <w:t xml:space="preserve"> providing a physical place and s</w:t>
            </w:r>
            <w:r w:rsidR="001E5163" w:rsidRPr="009D70DA">
              <w:t>upport for disadvantaged groups</w:t>
            </w:r>
            <w:r w:rsidR="00C750E6" w:rsidRPr="009D70DA">
              <w:t xml:space="preserve"> and well as providing entertainment and self-improvement.</w:t>
            </w:r>
          </w:p>
        </w:tc>
        <w:tc>
          <w:tcPr>
            <w:tcW w:w="1816" w:type="dxa"/>
            <w:shd w:val="clear" w:color="auto" w:fill="auto"/>
          </w:tcPr>
          <w:p w14:paraId="0AD5BA56" w14:textId="204127A7" w:rsidR="00F45873" w:rsidRPr="009D70DA" w:rsidRDefault="00A217C2" w:rsidP="00A217C2">
            <w:pPr>
              <w:rPr>
                <w:color w:val="000000"/>
              </w:rPr>
            </w:pPr>
            <w:r>
              <w:rPr>
                <w:color w:val="000000"/>
              </w:rPr>
              <w:t>Social/economic education</w:t>
            </w:r>
            <w:r w:rsidR="009C3F4A">
              <w:rPr>
                <w:color w:val="000000"/>
              </w:rPr>
              <w:t>al</w:t>
            </w:r>
          </w:p>
        </w:tc>
        <w:tc>
          <w:tcPr>
            <w:tcW w:w="2754" w:type="dxa"/>
            <w:shd w:val="clear" w:color="auto" w:fill="auto"/>
          </w:tcPr>
          <w:p w14:paraId="445A23EC" w14:textId="58DDD9BF" w:rsidR="00F45873" w:rsidRPr="009D70DA" w:rsidRDefault="00C750E6" w:rsidP="00AA32FA">
            <w:r w:rsidRPr="009D70DA">
              <w:t xml:space="preserve">Overall, the study identified three broad </w:t>
            </w:r>
            <w:r w:rsidR="00295E60" w:rsidRPr="009D70DA">
              <w:t>benefits</w:t>
            </w:r>
            <w:r w:rsidRPr="009D70DA">
              <w:t xml:space="preserve"> from library usage: social </w:t>
            </w:r>
            <w:r w:rsidR="00295E60" w:rsidRPr="009D70DA">
              <w:t>value that the</w:t>
            </w:r>
            <w:r w:rsidRPr="009D70DA">
              <w:t xml:space="preserve"> user</w:t>
            </w:r>
            <w:r w:rsidR="00295E60" w:rsidRPr="009D70DA">
              <w:t>s</w:t>
            </w:r>
            <w:r w:rsidRPr="009D70DA">
              <w:t xml:space="preserve"> derive from the services</w:t>
            </w:r>
            <w:r w:rsidR="00295E60" w:rsidRPr="009D70DA">
              <w:t xml:space="preserve"> across a broad level</w:t>
            </w:r>
            <w:r w:rsidRPr="009D70DA">
              <w:t xml:space="preserve">; economic </w:t>
            </w:r>
            <w:r w:rsidR="00295E60" w:rsidRPr="009D70DA">
              <w:t>value from</w:t>
            </w:r>
            <w:r w:rsidRPr="009D70DA">
              <w:t xml:space="preserve"> the dividend received by individuals finding work or being supported and equipped with skills through </w:t>
            </w:r>
            <w:r w:rsidR="0034127A" w:rsidRPr="009D70DA">
              <w:t xml:space="preserve">library </w:t>
            </w:r>
            <w:r w:rsidRPr="009D70DA">
              <w:t>services; educational</w:t>
            </w:r>
            <w:r w:rsidR="00295E60" w:rsidRPr="009D70DA">
              <w:t xml:space="preserve"> value through</w:t>
            </w:r>
            <w:r w:rsidRPr="009D70DA">
              <w:t xml:space="preserve"> support provided by libraries to children and adults </w:t>
            </w:r>
            <w:r w:rsidR="00295E60" w:rsidRPr="009D70DA">
              <w:t>in accessing</w:t>
            </w:r>
            <w:r w:rsidRPr="009D70DA">
              <w:t xml:space="preserve"> books and learning. </w:t>
            </w:r>
            <w:r w:rsidR="00F45873" w:rsidRPr="009D70DA">
              <w:t>The paper call</w:t>
            </w:r>
            <w:r w:rsidR="00AA32FA" w:rsidRPr="009D70DA">
              <w:t>s</w:t>
            </w:r>
            <w:r w:rsidRPr="009D70DA">
              <w:t xml:space="preserve"> for </w:t>
            </w:r>
            <w:r w:rsidR="00295E60" w:rsidRPr="009D70DA">
              <w:t xml:space="preserve">further </w:t>
            </w:r>
            <w:r w:rsidRPr="009D70DA">
              <w:t xml:space="preserve">investigation into new ways of measuring library </w:t>
            </w:r>
            <w:r w:rsidR="00295E60" w:rsidRPr="009D70DA">
              <w:t>services</w:t>
            </w:r>
            <w:r w:rsidRPr="009D70DA">
              <w:t xml:space="preserve"> and </w:t>
            </w:r>
            <w:r w:rsidR="00295E60" w:rsidRPr="009D70DA">
              <w:t>more effective</w:t>
            </w:r>
            <w:r w:rsidRPr="009D70DA">
              <w:t xml:space="preserve"> use of </w:t>
            </w:r>
            <w:r w:rsidR="00295E60" w:rsidRPr="009D70DA">
              <w:t xml:space="preserve">the </w:t>
            </w:r>
            <w:r w:rsidRPr="009D70DA">
              <w:t xml:space="preserve">existing evidence base. </w:t>
            </w:r>
          </w:p>
        </w:tc>
      </w:tr>
      <w:tr w:rsidR="00DD2FA3" w:rsidRPr="005F00CB" w14:paraId="693153FF" w14:textId="77777777" w:rsidTr="00825D69">
        <w:tc>
          <w:tcPr>
            <w:tcW w:w="1638" w:type="dxa"/>
            <w:shd w:val="clear" w:color="auto" w:fill="auto"/>
          </w:tcPr>
          <w:p w14:paraId="529D49CB" w14:textId="46ACC5C2" w:rsidR="00F45873" w:rsidRPr="009D70DA" w:rsidRDefault="00F45873" w:rsidP="006827F1">
            <w:pPr>
              <w:rPr>
                <w:rFonts w:eastAsiaTheme="minorHAnsi"/>
                <w:lang w:val="en-AU"/>
              </w:rPr>
            </w:pPr>
            <w:r w:rsidRPr="009D70DA">
              <w:rPr>
                <w:rFonts w:eastAsiaTheme="minorHAnsi"/>
                <w:lang w:val="en-AU"/>
              </w:rPr>
              <w:lastRenderedPageBreak/>
              <w:t xml:space="preserve">Houghton, </w:t>
            </w:r>
            <w:proofErr w:type="spellStart"/>
            <w:r w:rsidRPr="009D70DA">
              <w:rPr>
                <w:rFonts w:eastAsiaTheme="minorHAnsi"/>
                <w:lang w:val="en-AU"/>
              </w:rPr>
              <w:t>Foth</w:t>
            </w:r>
            <w:proofErr w:type="spellEnd"/>
            <w:r w:rsidRPr="009D70DA">
              <w:rPr>
                <w:rFonts w:eastAsiaTheme="minorHAnsi"/>
                <w:lang w:val="en-AU"/>
              </w:rPr>
              <w:t xml:space="preserve"> &amp; Miller 2013</w:t>
            </w:r>
          </w:p>
        </w:tc>
        <w:tc>
          <w:tcPr>
            <w:tcW w:w="2319" w:type="dxa"/>
            <w:shd w:val="clear" w:color="auto" w:fill="auto"/>
          </w:tcPr>
          <w:p w14:paraId="7724D1DA" w14:textId="77777777" w:rsidR="00F45873" w:rsidRPr="009D70DA" w:rsidRDefault="00F45873" w:rsidP="007C71A1">
            <w:pPr>
              <w:rPr>
                <w:color w:val="000000"/>
              </w:rPr>
            </w:pPr>
            <w:r w:rsidRPr="009D70DA">
              <w:rPr>
                <w:color w:val="000000"/>
              </w:rPr>
              <w:t>Considers how libraries support the development of community networks both physically and digitally.</w:t>
            </w:r>
          </w:p>
        </w:tc>
        <w:tc>
          <w:tcPr>
            <w:tcW w:w="2256" w:type="dxa"/>
            <w:shd w:val="clear" w:color="auto" w:fill="auto"/>
          </w:tcPr>
          <w:p w14:paraId="5A93819E" w14:textId="536D8EDC" w:rsidR="00F45873" w:rsidRPr="009D70DA" w:rsidRDefault="00F45873" w:rsidP="00697011">
            <w:r w:rsidRPr="009D70DA">
              <w:t xml:space="preserve">A </w:t>
            </w:r>
            <w:r w:rsidR="00697011">
              <w:t>qualitative</w:t>
            </w:r>
            <w:r w:rsidRPr="009D70DA">
              <w:t xml:space="preserve"> study informed by 20 in-depth interviews of library users (Concord Library</w:t>
            </w:r>
            <w:r w:rsidR="001041DB">
              <w:t>, Canada Bay, NSW</w:t>
            </w:r>
            <w:r w:rsidRPr="009D70DA">
              <w:t>)</w:t>
            </w:r>
          </w:p>
        </w:tc>
        <w:tc>
          <w:tcPr>
            <w:tcW w:w="2669" w:type="dxa"/>
            <w:shd w:val="clear" w:color="auto" w:fill="auto"/>
          </w:tcPr>
          <w:p w14:paraId="67E07A1D" w14:textId="3A291CA8" w:rsidR="00F45873" w:rsidRPr="009D70DA" w:rsidRDefault="00F45873" w:rsidP="007C71A1">
            <w:r w:rsidRPr="009D70DA">
              <w:t>The study identified that links were predominantly made within the library context. The library was a physical meeting place, a community hub</w:t>
            </w:r>
            <w:r w:rsidR="001041DB">
              <w:t>,</w:t>
            </w:r>
            <w:r w:rsidRPr="009D70DA">
              <w:t xml:space="preserve"> and for some their main link to the networked world, albeit peripherally. Evident was the need to create links to the online world for non-technology users.</w:t>
            </w:r>
          </w:p>
        </w:tc>
        <w:tc>
          <w:tcPr>
            <w:tcW w:w="1816" w:type="dxa"/>
            <w:shd w:val="clear" w:color="auto" w:fill="auto"/>
          </w:tcPr>
          <w:p w14:paraId="29B9A412" w14:textId="3D692F00" w:rsidR="00F45873" w:rsidRPr="009D70DA" w:rsidRDefault="00E5436B" w:rsidP="007C71A1">
            <w:pPr>
              <w:rPr>
                <w:color w:val="000000"/>
              </w:rPr>
            </w:pPr>
            <w:r w:rsidRPr="009D70DA">
              <w:rPr>
                <w:color w:val="000000"/>
              </w:rPr>
              <w:t>Institutional (</w:t>
            </w:r>
            <w:r w:rsidR="00D27C34" w:rsidRPr="009D70DA">
              <w:rPr>
                <w:color w:val="000000"/>
              </w:rPr>
              <w:t>p</w:t>
            </w:r>
            <w:r w:rsidR="00F45873" w:rsidRPr="009D70DA">
              <w:rPr>
                <w:color w:val="000000"/>
              </w:rPr>
              <w:t>ublic space</w:t>
            </w:r>
            <w:r w:rsidRPr="009D70DA">
              <w:rPr>
                <w:color w:val="000000"/>
              </w:rPr>
              <w:t>)</w:t>
            </w:r>
          </w:p>
        </w:tc>
        <w:tc>
          <w:tcPr>
            <w:tcW w:w="2754" w:type="dxa"/>
            <w:shd w:val="clear" w:color="auto" w:fill="auto"/>
          </w:tcPr>
          <w:p w14:paraId="51D811D7" w14:textId="77777777" w:rsidR="00F45873" w:rsidRPr="009D70DA" w:rsidRDefault="00F45873" w:rsidP="007C71A1">
            <w:r w:rsidRPr="009D70DA">
              <w:t>The use of social media for connection was largely absent for this cohort. However users had connections to the physical space which strongly served a third place role. Public libraries have a critical role in supporting the digital-knowledge economy for both users and non-users of technology.</w:t>
            </w:r>
          </w:p>
        </w:tc>
      </w:tr>
      <w:tr w:rsidR="00DD2FA3" w:rsidRPr="005F00CB" w14:paraId="1139C7D0" w14:textId="77777777" w:rsidTr="00825D69">
        <w:tc>
          <w:tcPr>
            <w:tcW w:w="1638" w:type="dxa"/>
            <w:shd w:val="clear" w:color="auto" w:fill="auto"/>
          </w:tcPr>
          <w:p w14:paraId="04CFDE29" w14:textId="77777777" w:rsidR="00F45873" w:rsidRPr="009D70DA" w:rsidRDefault="00F45873" w:rsidP="007C71A1">
            <w:pPr>
              <w:rPr>
                <w:rFonts w:eastAsiaTheme="minorHAnsi"/>
                <w:lang w:val="en-AU"/>
              </w:rPr>
            </w:pPr>
            <w:r w:rsidRPr="009D70DA">
              <w:rPr>
                <w:rFonts w:eastAsiaTheme="minorHAnsi"/>
                <w:lang w:val="en-AU"/>
              </w:rPr>
              <w:t xml:space="preserve">Jaeger, </w:t>
            </w:r>
            <w:proofErr w:type="spellStart"/>
            <w:r w:rsidRPr="009D70DA">
              <w:rPr>
                <w:rFonts w:eastAsiaTheme="minorHAnsi"/>
                <w:lang w:val="en-AU"/>
              </w:rPr>
              <w:t>Bertot</w:t>
            </w:r>
            <w:proofErr w:type="spellEnd"/>
            <w:r w:rsidRPr="009D70DA">
              <w:rPr>
                <w:rFonts w:eastAsiaTheme="minorHAnsi"/>
                <w:lang w:val="en-AU"/>
              </w:rPr>
              <w:t xml:space="preserve">,  Thompson, Katz, &amp; </w:t>
            </w:r>
            <w:proofErr w:type="spellStart"/>
            <w:r w:rsidRPr="009D70DA">
              <w:rPr>
                <w:rFonts w:eastAsiaTheme="minorHAnsi"/>
                <w:lang w:val="en-AU"/>
              </w:rPr>
              <w:t>Decoster</w:t>
            </w:r>
            <w:proofErr w:type="spellEnd"/>
            <w:r w:rsidRPr="009D70DA">
              <w:rPr>
                <w:rFonts w:eastAsiaTheme="minorHAnsi"/>
                <w:lang w:val="en-AU"/>
              </w:rPr>
              <w:t xml:space="preserve"> 2012</w:t>
            </w:r>
          </w:p>
        </w:tc>
        <w:tc>
          <w:tcPr>
            <w:tcW w:w="2319" w:type="dxa"/>
            <w:shd w:val="clear" w:color="auto" w:fill="auto"/>
          </w:tcPr>
          <w:p w14:paraId="358A8F4E" w14:textId="77777777" w:rsidR="00F45873" w:rsidRPr="009D70DA" w:rsidRDefault="00F45873" w:rsidP="007C71A1">
            <w:pPr>
              <w:rPr>
                <w:color w:val="000000"/>
              </w:rPr>
            </w:pPr>
            <w:r w:rsidRPr="009D70DA">
              <w:rPr>
                <w:color w:val="000000"/>
              </w:rPr>
              <w:t xml:space="preserve">Examines the gap between concepts and policies as public libraries organize to provide Internet education, access, and assistance. </w:t>
            </w:r>
          </w:p>
        </w:tc>
        <w:tc>
          <w:tcPr>
            <w:tcW w:w="2256" w:type="dxa"/>
            <w:shd w:val="clear" w:color="auto" w:fill="auto"/>
          </w:tcPr>
          <w:p w14:paraId="1FA876F5" w14:textId="77777777" w:rsidR="00F45873" w:rsidRPr="009D70DA" w:rsidRDefault="00F45873" w:rsidP="007C71A1">
            <w:r w:rsidRPr="009D70DA">
              <w:t>Literature review</w:t>
            </w:r>
          </w:p>
        </w:tc>
        <w:tc>
          <w:tcPr>
            <w:tcW w:w="2669" w:type="dxa"/>
            <w:shd w:val="clear" w:color="auto" w:fill="auto"/>
          </w:tcPr>
          <w:p w14:paraId="1CE863C2" w14:textId="039FC677" w:rsidR="00F45873" w:rsidRPr="009D70DA" w:rsidRDefault="00F45873" w:rsidP="007C71A1">
            <w:r w:rsidRPr="009D70DA">
              <w:t xml:space="preserve">Access to technologies has become an important part of social inclusion, and specifically digital inclusion. The article discusses digital inclusion as a policy to close the divide and promote digital literacy. Gaps </w:t>
            </w:r>
            <w:r w:rsidR="001041DB">
              <w:t>betwee</w:t>
            </w:r>
            <w:r w:rsidRPr="009D70DA">
              <w:t xml:space="preserve">n the digital haves and digital have-nots will become more evident as digital participation becomes more central to education, employment, </w:t>
            </w:r>
            <w:r w:rsidRPr="009D70DA">
              <w:lastRenderedPageBreak/>
              <w:t>government and other areas.</w:t>
            </w:r>
          </w:p>
        </w:tc>
        <w:tc>
          <w:tcPr>
            <w:tcW w:w="1816" w:type="dxa"/>
            <w:shd w:val="clear" w:color="auto" w:fill="auto"/>
          </w:tcPr>
          <w:p w14:paraId="1A47B949" w14:textId="4108509A" w:rsidR="00F45873" w:rsidRPr="009D70DA" w:rsidRDefault="00E5436B" w:rsidP="00E51950">
            <w:pPr>
              <w:rPr>
                <w:color w:val="000000"/>
              </w:rPr>
            </w:pPr>
            <w:r w:rsidRPr="009D70DA">
              <w:rPr>
                <w:color w:val="000000"/>
              </w:rPr>
              <w:lastRenderedPageBreak/>
              <w:t>Societal (inclusion)</w:t>
            </w:r>
          </w:p>
        </w:tc>
        <w:tc>
          <w:tcPr>
            <w:tcW w:w="2754" w:type="dxa"/>
            <w:shd w:val="clear" w:color="auto" w:fill="auto"/>
          </w:tcPr>
          <w:p w14:paraId="4C9BD4A6" w14:textId="77777777" w:rsidR="00F45873" w:rsidRPr="009D70DA" w:rsidRDefault="00F45873" w:rsidP="007C71A1">
            <w:r w:rsidRPr="009D70DA">
              <w:t>In the US, libraries continue to lead the way in digital inclusion, although this is not necessarily</w:t>
            </w:r>
            <w:r w:rsidRPr="009D70DA">
              <w:rPr>
                <w:lang w:val="en-AU"/>
              </w:rPr>
              <w:t xml:space="preserve"> recognised</w:t>
            </w:r>
            <w:r w:rsidRPr="009D70DA">
              <w:t xml:space="preserve"> in library funding models. Libraries need to continue to take more initiative in terms of advocacy or their current role in promoting digital literacy and digital inclusion will not be sustainable.</w:t>
            </w:r>
          </w:p>
        </w:tc>
      </w:tr>
      <w:tr w:rsidR="00DD2FA3" w:rsidRPr="005F00CB" w14:paraId="54C51068" w14:textId="77777777" w:rsidTr="00825D69">
        <w:tc>
          <w:tcPr>
            <w:tcW w:w="1638" w:type="dxa"/>
            <w:shd w:val="clear" w:color="auto" w:fill="auto"/>
          </w:tcPr>
          <w:p w14:paraId="1B9E270A" w14:textId="0A46ED35" w:rsidR="00854D66" w:rsidRPr="009D70DA" w:rsidRDefault="00856C79" w:rsidP="007C71A1">
            <w:pPr>
              <w:rPr>
                <w:rFonts w:eastAsiaTheme="minorHAnsi"/>
                <w:lang w:val="en-AU"/>
              </w:rPr>
            </w:pPr>
            <w:r w:rsidRPr="009D70DA">
              <w:rPr>
                <w:rFonts w:eastAsiaTheme="minorHAnsi"/>
                <w:lang w:val="en-AU"/>
              </w:rPr>
              <w:t>Johnson 2010</w:t>
            </w:r>
          </w:p>
        </w:tc>
        <w:tc>
          <w:tcPr>
            <w:tcW w:w="2319" w:type="dxa"/>
            <w:shd w:val="clear" w:color="auto" w:fill="auto"/>
          </w:tcPr>
          <w:p w14:paraId="37E06C36" w14:textId="39834CF5" w:rsidR="00856C79" w:rsidRPr="009D70DA" w:rsidRDefault="00856C79" w:rsidP="00856C79">
            <w:pPr>
              <w:autoSpaceDE w:val="0"/>
              <w:autoSpaceDN w:val="0"/>
              <w:adjustRightInd w:val="0"/>
              <w:rPr>
                <w:rFonts w:eastAsia="Calibri"/>
                <w:color w:val="231F20"/>
                <w:lang w:val="en-AU"/>
              </w:rPr>
            </w:pPr>
            <w:r w:rsidRPr="009D70DA">
              <w:rPr>
                <w:rFonts w:eastAsia="Calibri"/>
                <w:color w:val="231F20"/>
                <w:lang w:val="en-AU"/>
              </w:rPr>
              <w:t>Investigate</w:t>
            </w:r>
            <w:r w:rsidR="00007487" w:rsidRPr="009D70DA">
              <w:rPr>
                <w:rFonts w:eastAsia="Calibri"/>
                <w:color w:val="231F20"/>
                <w:lang w:val="en-AU"/>
              </w:rPr>
              <w:t>s</w:t>
            </w:r>
            <w:r w:rsidRPr="009D70DA">
              <w:rPr>
                <w:rFonts w:eastAsia="Calibri"/>
                <w:color w:val="231F20"/>
                <w:lang w:val="en-AU"/>
              </w:rPr>
              <w:t xml:space="preserve"> the extent to which the public library contributes to community and</w:t>
            </w:r>
          </w:p>
          <w:p w14:paraId="1D4C6288" w14:textId="3B32E36A" w:rsidR="00854D66" w:rsidRPr="009D70DA" w:rsidRDefault="00856C79" w:rsidP="00215DFB">
            <w:pPr>
              <w:rPr>
                <w:color w:val="000000"/>
              </w:rPr>
            </w:pPr>
            <w:proofErr w:type="gramStart"/>
            <w:r w:rsidRPr="009D70DA">
              <w:rPr>
                <w:rFonts w:eastAsia="Calibri"/>
                <w:color w:val="231F20"/>
                <w:lang w:val="en-AU"/>
              </w:rPr>
              <w:t>individual</w:t>
            </w:r>
            <w:proofErr w:type="gramEnd"/>
            <w:r w:rsidRPr="009D70DA">
              <w:rPr>
                <w:rFonts w:eastAsia="Calibri"/>
                <w:color w:val="231F20"/>
                <w:lang w:val="en-AU"/>
              </w:rPr>
              <w:t xml:space="preserve"> social capital</w:t>
            </w:r>
            <w:r w:rsidR="000837E7" w:rsidRPr="009D70DA">
              <w:rPr>
                <w:rFonts w:eastAsia="Calibri"/>
                <w:color w:val="231F20"/>
                <w:lang w:val="en-AU"/>
              </w:rPr>
              <w:t xml:space="preserve"> </w:t>
            </w:r>
            <w:r w:rsidR="009C5528" w:rsidRPr="009D70DA">
              <w:rPr>
                <w:rFonts w:eastAsia="Calibri"/>
                <w:color w:val="231F20"/>
                <w:lang w:val="en-AU"/>
              </w:rPr>
              <w:t xml:space="preserve">of </w:t>
            </w:r>
            <w:r w:rsidR="00215DFB" w:rsidRPr="009D70DA">
              <w:rPr>
                <w:rFonts w:eastAsia="Calibri"/>
                <w:color w:val="231F20"/>
                <w:lang w:val="en-AU"/>
              </w:rPr>
              <w:t>its</w:t>
            </w:r>
            <w:r w:rsidR="00007487" w:rsidRPr="009D70DA">
              <w:rPr>
                <w:rFonts w:eastAsia="Calibri"/>
                <w:color w:val="231F20"/>
                <w:lang w:val="en-AU"/>
              </w:rPr>
              <w:t xml:space="preserve"> users.</w:t>
            </w:r>
          </w:p>
        </w:tc>
        <w:tc>
          <w:tcPr>
            <w:tcW w:w="2256" w:type="dxa"/>
            <w:shd w:val="clear" w:color="auto" w:fill="auto"/>
          </w:tcPr>
          <w:p w14:paraId="166CC237" w14:textId="4C55D098" w:rsidR="00854D66" w:rsidRPr="009D70DA" w:rsidRDefault="00856C79" w:rsidP="005838CE">
            <w:r w:rsidRPr="009D70DA">
              <w:t xml:space="preserve">Survey administered to 132 library patrons </w:t>
            </w:r>
            <w:r w:rsidR="000837E7" w:rsidRPr="009D70DA">
              <w:t xml:space="preserve">across </w:t>
            </w:r>
            <w:r w:rsidRPr="009D70DA">
              <w:t xml:space="preserve">three libraries in </w:t>
            </w:r>
            <w:r w:rsidR="000837E7" w:rsidRPr="009D70DA">
              <w:t xml:space="preserve">a </w:t>
            </w:r>
            <w:r w:rsidRPr="009D70DA">
              <w:t>large US Midwest city</w:t>
            </w:r>
            <w:r w:rsidR="00C71110">
              <w:t>.</w:t>
            </w:r>
            <w:r w:rsidR="00007487" w:rsidRPr="009D70DA">
              <w:t xml:space="preserve"> </w:t>
            </w:r>
          </w:p>
        </w:tc>
        <w:tc>
          <w:tcPr>
            <w:tcW w:w="2669" w:type="dxa"/>
            <w:shd w:val="clear" w:color="auto" w:fill="auto"/>
          </w:tcPr>
          <w:p w14:paraId="65638468" w14:textId="6471579C" w:rsidR="00854D66" w:rsidRPr="009D70DA" w:rsidRDefault="009C5528" w:rsidP="00B15F7C">
            <w:r w:rsidRPr="009D70DA">
              <w:t xml:space="preserve">Results </w:t>
            </w:r>
            <w:r w:rsidR="00686612" w:rsidRPr="009D70DA">
              <w:t xml:space="preserve">were </w:t>
            </w:r>
            <w:r w:rsidR="000017AC" w:rsidRPr="009D70DA">
              <w:t xml:space="preserve">initially benchmarked against </w:t>
            </w:r>
            <w:r w:rsidRPr="009D70DA">
              <w:t>findings of</w:t>
            </w:r>
            <w:r w:rsidR="00686612" w:rsidRPr="009D70DA">
              <w:t xml:space="preserve"> </w:t>
            </w:r>
            <w:r w:rsidR="00B15F7C" w:rsidRPr="009D70DA">
              <w:t xml:space="preserve">a prior </w:t>
            </w:r>
            <w:r w:rsidR="005838CE" w:rsidRPr="009D70DA">
              <w:t>general population</w:t>
            </w:r>
            <w:r w:rsidR="00686612" w:rsidRPr="009D70DA">
              <w:t xml:space="preserve"> </w:t>
            </w:r>
            <w:r w:rsidR="005838CE" w:rsidRPr="009D70DA">
              <w:t xml:space="preserve">social capital </w:t>
            </w:r>
            <w:r w:rsidR="00686612" w:rsidRPr="009D70DA">
              <w:t xml:space="preserve">study </w:t>
            </w:r>
            <w:r w:rsidR="000017AC" w:rsidRPr="009D70DA">
              <w:t>in</w:t>
            </w:r>
            <w:r w:rsidR="00686612" w:rsidRPr="009D70DA">
              <w:t xml:space="preserve"> the same city. </w:t>
            </w:r>
            <w:r w:rsidR="000017AC" w:rsidRPr="009D70DA">
              <w:t>When compared, l</w:t>
            </w:r>
            <w:r w:rsidR="00686612" w:rsidRPr="009D70DA">
              <w:t>ibrary users showed higher levels of trust and community involvement</w:t>
            </w:r>
            <w:r w:rsidR="000017AC" w:rsidRPr="009D70DA">
              <w:t>.</w:t>
            </w:r>
            <w:r w:rsidR="00686612" w:rsidRPr="009D70DA">
              <w:t xml:space="preserve"> </w:t>
            </w:r>
            <w:r w:rsidR="000017AC" w:rsidRPr="009D70DA">
              <w:t xml:space="preserve">However, </w:t>
            </w:r>
            <w:r w:rsidR="005838CE" w:rsidRPr="009D70DA">
              <w:t>results from the library users</w:t>
            </w:r>
            <w:r w:rsidR="00694147" w:rsidRPr="009D70DA">
              <w:t>’</w:t>
            </w:r>
            <w:r w:rsidR="005838CE" w:rsidRPr="009D70DA">
              <w:t xml:space="preserve"> study</w:t>
            </w:r>
            <w:r w:rsidR="00B15F7C" w:rsidRPr="009D70DA">
              <w:t xml:space="preserve"> revealed that the</w:t>
            </w:r>
            <w:r w:rsidR="007C4BD8" w:rsidRPr="009D70DA">
              <w:t xml:space="preserve"> </w:t>
            </w:r>
            <w:r w:rsidR="000017AC" w:rsidRPr="009D70DA">
              <w:t xml:space="preserve">only significant aspect </w:t>
            </w:r>
            <w:r w:rsidR="00B15F7C" w:rsidRPr="009D70DA">
              <w:t>was</w:t>
            </w:r>
            <w:r w:rsidR="007C4BD8" w:rsidRPr="009D70DA">
              <w:t xml:space="preserve"> community involvement. </w:t>
            </w:r>
            <w:r w:rsidR="005838CE" w:rsidRPr="009D70DA">
              <w:t xml:space="preserve">There was </w:t>
            </w:r>
            <w:r w:rsidR="00B15F7C" w:rsidRPr="009D70DA">
              <w:t xml:space="preserve">no </w:t>
            </w:r>
            <w:r w:rsidR="005838CE" w:rsidRPr="009D70DA">
              <w:t xml:space="preserve">association between </w:t>
            </w:r>
            <w:r w:rsidR="00B15F7C" w:rsidRPr="009D70DA">
              <w:t>individual</w:t>
            </w:r>
            <w:r w:rsidR="005838CE" w:rsidRPr="009D70DA">
              <w:t xml:space="preserve"> social capital </w:t>
            </w:r>
            <w:r w:rsidR="00B15F7C" w:rsidRPr="009D70DA">
              <w:t>and library use.</w:t>
            </w:r>
          </w:p>
        </w:tc>
        <w:tc>
          <w:tcPr>
            <w:tcW w:w="1816" w:type="dxa"/>
            <w:shd w:val="clear" w:color="auto" w:fill="auto"/>
          </w:tcPr>
          <w:p w14:paraId="35DB6E1C" w14:textId="43A94D07" w:rsidR="00854D66" w:rsidRPr="009D70DA" w:rsidRDefault="00215DFB" w:rsidP="00215DFB">
            <w:pPr>
              <w:rPr>
                <w:color w:val="000000"/>
              </w:rPr>
            </w:pPr>
            <w:r w:rsidRPr="009D70DA">
              <w:rPr>
                <w:color w:val="000000"/>
              </w:rPr>
              <w:t>Social</w:t>
            </w:r>
            <w:r w:rsidR="00E5436B" w:rsidRPr="009D70DA">
              <w:rPr>
                <w:color w:val="000000"/>
              </w:rPr>
              <w:t xml:space="preserve"> (</w:t>
            </w:r>
            <w:r w:rsidRPr="009D70DA">
              <w:rPr>
                <w:color w:val="000000"/>
              </w:rPr>
              <w:t>s</w:t>
            </w:r>
            <w:r w:rsidR="00E5436B" w:rsidRPr="009D70DA">
              <w:rPr>
                <w:color w:val="000000"/>
              </w:rPr>
              <w:t>ocial capital)</w:t>
            </w:r>
          </w:p>
        </w:tc>
        <w:tc>
          <w:tcPr>
            <w:tcW w:w="2754" w:type="dxa"/>
            <w:shd w:val="clear" w:color="auto" w:fill="auto"/>
          </w:tcPr>
          <w:p w14:paraId="3E1C0A54" w14:textId="3B87DDD9" w:rsidR="00854D66" w:rsidRPr="009D70DA" w:rsidRDefault="007C4BD8" w:rsidP="0038093A">
            <w:pPr>
              <w:autoSpaceDE w:val="0"/>
              <w:autoSpaceDN w:val="0"/>
              <w:adjustRightInd w:val="0"/>
              <w:rPr>
                <w:rFonts w:eastAsia="Calibri"/>
                <w:color w:val="231F20"/>
                <w:lang w:val="en-AU"/>
              </w:rPr>
            </w:pPr>
            <w:r w:rsidRPr="009D70DA">
              <w:rPr>
                <w:rFonts w:eastAsia="Calibri"/>
                <w:color w:val="231F20"/>
                <w:lang w:val="en-AU"/>
              </w:rPr>
              <w:t xml:space="preserve">A causal link between social capital and library usage was </w:t>
            </w:r>
            <w:r w:rsidR="00686612" w:rsidRPr="009D70DA">
              <w:rPr>
                <w:rFonts w:eastAsia="Calibri"/>
                <w:color w:val="231F20"/>
                <w:lang w:val="en-AU"/>
              </w:rPr>
              <w:t>inconclusive</w:t>
            </w:r>
            <w:r w:rsidR="009C5528" w:rsidRPr="009D70DA">
              <w:rPr>
                <w:rFonts w:eastAsia="Calibri"/>
                <w:color w:val="231F20"/>
                <w:lang w:val="en-AU"/>
              </w:rPr>
              <w:t>. There was however a relationship between l</w:t>
            </w:r>
            <w:r w:rsidRPr="009D70DA">
              <w:rPr>
                <w:rFonts w:eastAsia="Calibri"/>
                <w:color w:val="231F20"/>
                <w:lang w:val="en-AU"/>
              </w:rPr>
              <w:t xml:space="preserve">ibrary use </w:t>
            </w:r>
            <w:r w:rsidR="009C5528" w:rsidRPr="009D70DA">
              <w:rPr>
                <w:rFonts w:eastAsia="Calibri"/>
                <w:color w:val="231F20"/>
                <w:lang w:val="en-AU"/>
              </w:rPr>
              <w:t xml:space="preserve">and </w:t>
            </w:r>
            <w:r w:rsidRPr="009D70DA">
              <w:rPr>
                <w:rFonts w:eastAsia="Calibri"/>
                <w:color w:val="231F20"/>
                <w:lang w:val="en-AU"/>
              </w:rPr>
              <w:t>community involvement</w:t>
            </w:r>
            <w:r w:rsidR="00694147" w:rsidRPr="009D70DA">
              <w:rPr>
                <w:rFonts w:eastAsia="Calibri"/>
                <w:color w:val="231F20"/>
                <w:lang w:val="en-AU"/>
              </w:rPr>
              <w:t xml:space="preserve"> (</w:t>
            </w:r>
            <w:r w:rsidR="0038093A" w:rsidRPr="009D70DA">
              <w:rPr>
                <w:rFonts w:eastAsia="Calibri"/>
                <w:color w:val="231F20"/>
                <w:lang w:val="en-AU"/>
              </w:rPr>
              <w:t>voluntary associations</w:t>
            </w:r>
            <w:r w:rsidR="00694147" w:rsidRPr="009D70DA">
              <w:rPr>
                <w:rFonts w:eastAsia="Calibri"/>
                <w:color w:val="231F20"/>
                <w:lang w:val="en-AU"/>
              </w:rPr>
              <w:t>).</w:t>
            </w:r>
            <w:r w:rsidRPr="009D70DA">
              <w:rPr>
                <w:rFonts w:eastAsia="Calibri"/>
                <w:color w:val="231F20"/>
                <w:lang w:val="en-AU"/>
              </w:rPr>
              <w:t xml:space="preserve"> Further </w:t>
            </w:r>
            <w:r w:rsidR="00694147" w:rsidRPr="009D70DA">
              <w:rPr>
                <w:rFonts w:eastAsia="Calibri"/>
                <w:color w:val="231F20"/>
                <w:lang w:val="en-AU"/>
              </w:rPr>
              <w:t>investigation was</w:t>
            </w:r>
            <w:r w:rsidR="000017AC" w:rsidRPr="009D70DA">
              <w:rPr>
                <w:rFonts w:eastAsia="Calibri"/>
                <w:color w:val="231F20"/>
                <w:lang w:val="en-AU"/>
              </w:rPr>
              <w:t xml:space="preserve"> identified</w:t>
            </w:r>
            <w:r w:rsidR="00694147" w:rsidRPr="009D70DA">
              <w:rPr>
                <w:rFonts w:eastAsia="Calibri"/>
                <w:color w:val="231F20"/>
                <w:lang w:val="en-AU"/>
              </w:rPr>
              <w:t>,</w:t>
            </w:r>
            <w:r w:rsidR="000017AC" w:rsidRPr="009D70DA">
              <w:rPr>
                <w:rFonts w:eastAsia="Calibri"/>
                <w:color w:val="231F20"/>
                <w:lang w:val="en-AU"/>
              </w:rPr>
              <w:t xml:space="preserve"> specifically to gain a more </w:t>
            </w:r>
            <w:r w:rsidRPr="009D70DA">
              <w:rPr>
                <w:rFonts w:eastAsia="Calibri"/>
                <w:color w:val="231F20"/>
                <w:lang w:val="en-AU"/>
              </w:rPr>
              <w:t xml:space="preserve">nuanced </w:t>
            </w:r>
            <w:r w:rsidR="000017AC" w:rsidRPr="009D70DA">
              <w:rPr>
                <w:rFonts w:eastAsia="Calibri"/>
                <w:color w:val="231F20"/>
                <w:lang w:val="en-AU"/>
              </w:rPr>
              <w:t>understanding</w:t>
            </w:r>
            <w:r w:rsidRPr="009D70DA">
              <w:rPr>
                <w:rFonts w:eastAsia="Calibri"/>
                <w:color w:val="231F20"/>
                <w:lang w:val="en-AU"/>
              </w:rPr>
              <w:t xml:space="preserve"> of the circumstances </w:t>
            </w:r>
            <w:r w:rsidR="000017AC" w:rsidRPr="009D70DA">
              <w:rPr>
                <w:rFonts w:eastAsia="Calibri"/>
                <w:color w:val="231F20"/>
                <w:lang w:val="en-AU"/>
              </w:rPr>
              <w:t xml:space="preserve">that </w:t>
            </w:r>
            <w:r w:rsidR="009C5528" w:rsidRPr="009D70DA">
              <w:rPr>
                <w:rFonts w:eastAsia="Calibri"/>
                <w:color w:val="231F20"/>
                <w:lang w:val="en-AU"/>
              </w:rPr>
              <w:t>create</w:t>
            </w:r>
            <w:r w:rsidRPr="009D70DA">
              <w:rPr>
                <w:rFonts w:eastAsia="Calibri"/>
                <w:color w:val="231F20"/>
                <w:lang w:val="en-AU"/>
              </w:rPr>
              <w:t xml:space="preserve"> social capital</w:t>
            </w:r>
            <w:r w:rsidR="00694147" w:rsidRPr="009D70DA">
              <w:rPr>
                <w:rFonts w:eastAsia="Calibri"/>
                <w:color w:val="231F20"/>
                <w:lang w:val="en-AU"/>
              </w:rPr>
              <w:t>.</w:t>
            </w:r>
            <w:r w:rsidRPr="009D70DA">
              <w:rPr>
                <w:rFonts w:eastAsia="Calibri"/>
                <w:color w:val="231F20"/>
                <w:lang w:val="en-AU"/>
              </w:rPr>
              <w:t xml:space="preserve"> </w:t>
            </w:r>
          </w:p>
        </w:tc>
      </w:tr>
      <w:tr w:rsidR="00DD2FA3" w:rsidRPr="005F00CB" w14:paraId="6943E36D" w14:textId="77777777" w:rsidTr="00825D69">
        <w:tc>
          <w:tcPr>
            <w:tcW w:w="1638" w:type="dxa"/>
            <w:shd w:val="clear" w:color="auto" w:fill="auto"/>
          </w:tcPr>
          <w:p w14:paraId="25A284D2" w14:textId="77777777" w:rsidR="00F45873" w:rsidRPr="009D70DA" w:rsidRDefault="00F45873" w:rsidP="007C71A1">
            <w:pPr>
              <w:rPr>
                <w:rFonts w:eastAsiaTheme="minorHAnsi"/>
                <w:lang w:val="en-AU"/>
              </w:rPr>
            </w:pPr>
            <w:r w:rsidRPr="009D70DA">
              <w:rPr>
                <w:rFonts w:eastAsiaTheme="minorHAnsi"/>
                <w:lang w:val="en-AU"/>
              </w:rPr>
              <w:t>Johnson 2012</w:t>
            </w:r>
          </w:p>
        </w:tc>
        <w:tc>
          <w:tcPr>
            <w:tcW w:w="2319" w:type="dxa"/>
            <w:shd w:val="clear" w:color="auto" w:fill="auto"/>
          </w:tcPr>
          <w:p w14:paraId="66CE44A1" w14:textId="0FB25741" w:rsidR="00F45873" w:rsidRPr="009D70DA" w:rsidRDefault="00F45873" w:rsidP="0002314D">
            <w:pPr>
              <w:rPr>
                <w:color w:val="000000"/>
              </w:rPr>
            </w:pPr>
            <w:r w:rsidRPr="009D70DA">
              <w:rPr>
                <w:color w:val="000000"/>
              </w:rPr>
              <w:t xml:space="preserve">Explores social interactions between library staff and patrons </w:t>
            </w:r>
            <w:r w:rsidR="0002314D" w:rsidRPr="009D70DA">
              <w:rPr>
                <w:color w:val="000000"/>
              </w:rPr>
              <w:t>in relation to the</w:t>
            </w:r>
            <w:r w:rsidR="000D7F85" w:rsidRPr="009D70DA">
              <w:rPr>
                <w:color w:val="000000"/>
              </w:rPr>
              <w:t xml:space="preserve"> </w:t>
            </w:r>
            <w:r w:rsidRPr="009D70DA">
              <w:rPr>
                <w:color w:val="000000"/>
              </w:rPr>
              <w:t>creation of social capital.</w:t>
            </w:r>
          </w:p>
        </w:tc>
        <w:tc>
          <w:tcPr>
            <w:tcW w:w="2256" w:type="dxa"/>
            <w:shd w:val="clear" w:color="auto" w:fill="auto"/>
          </w:tcPr>
          <w:p w14:paraId="122BB440" w14:textId="6C723AAB" w:rsidR="00F45873" w:rsidRPr="009D70DA" w:rsidRDefault="00F45873" w:rsidP="007C71A1">
            <w:r w:rsidRPr="009D70DA">
              <w:t xml:space="preserve">Interviews involving 15 library staff in </w:t>
            </w:r>
            <w:r w:rsidR="000837E7" w:rsidRPr="009D70DA">
              <w:t xml:space="preserve">a </w:t>
            </w:r>
            <w:r w:rsidRPr="009D70DA">
              <w:t>large US Midwest city</w:t>
            </w:r>
            <w:r w:rsidR="00C71110">
              <w:t>.</w:t>
            </w:r>
          </w:p>
        </w:tc>
        <w:tc>
          <w:tcPr>
            <w:tcW w:w="2669" w:type="dxa"/>
            <w:shd w:val="clear" w:color="auto" w:fill="auto"/>
          </w:tcPr>
          <w:p w14:paraId="31AEB3F9" w14:textId="3196CFE7" w:rsidR="00F45873" w:rsidRPr="009D70DA" w:rsidRDefault="00F45873" w:rsidP="00B15F7C">
            <w:r w:rsidRPr="009D70DA">
              <w:t xml:space="preserve">Both individual and community-level social capital building were identified in this qualitative study. </w:t>
            </w:r>
            <w:r w:rsidR="00B15F7C" w:rsidRPr="009D70DA">
              <w:t>I</w:t>
            </w:r>
            <w:r w:rsidRPr="009D70DA">
              <w:t xml:space="preserve">nteractions between staff and patrons beyond functional exchange included establishing relationships and </w:t>
            </w:r>
            <w:r w:rsidRPr="009D70DA">
              <w:lastRenderedPageBreak/>
              <w:t xml:space="preserve">building trust; linking patrons to resources (inside and outside of the library); and providing individualized help. </w:t>
            </w:r>
          </w:p>
        </w:tc>
        <w:tc>
          <w:tcPr>
            <w:tcW w:w="1816" w:type="dxa"/>
            <w:shd w:val="clear" w:color="auto" w:fill="auto"/>
          </w:tcPr>
          <w:p w14:paraId="163B1E31" w14:textId="74665240" w:rsidR="00F45873" w:rsidRPr="009D70DA" w:rsidRDefault="00F45873" w:rsidP="007C71A1">
            <w:pPr>
              <w:rPr>
                <w:color w:val="000000"/>
              </w:rPr>
            </w:pPr>
            <w:r w:rsidRPr="009D70DA">
              <w:rPr>
                <w:color w:val="000000"/>
              </w:rPr>
              <w:lastRenderedPageBreak/>
              <w:t xml:space="preserve">Social </w:t>
            </w:r>
            <w:r w:rsidR="00215DFB" w:rsidRPr="009D70DA">
              <w:rPr>
                <w:color w:val="000000"/>
              </w:rPr>
              <w:t xml:space="preserve">(social </w:t>
            </w:r>
            <w:r w:rsidRPr="009D70DA">
              <w:rPr>
                <w:color w:val="000000"/>
              </w:rPr>
              <w:t>capital</w:t>
            </w:r>
            <w:r w:rsidR="00E5436B" w:rsidRPr="009D70DA">
              <w:rPr>
                <w:color w:val="000000"/>
              </w:rPr>
              <w:t>)</w:t>
            </w:r>
          </w:p>
        </w:tc>
        <w:tc>
          <w:tcPr>
            <w:tcW w:w="2754" w:type="dxa"/>
            <w:shd w:val="clear" w:color="auto" w:fill="auto"/>
          </w:tcPr>
          <w:p w14:paraId="75020342" w14:textId="50EA881E" w:rsidR="00F45873" w:rsidRPr="009D70DA" w:rsidRDefault="00F45873" w:rsidP="00B15F7C">
            <w:r w:rsidRPr="009D70DA">
              <w:t>The study concluded that the library serves as a constructive, safe public space where people make connections thereby reducing their social isolation. While public libraries are offering more services online the importa</w:t>
            </w:r>
            <w:r w:rsidR="00A91041" w:rsidRPr="009D70DA">
              <w:t xml:space="preserve">nce of </w:t>
            </w:r>
            <w:r w:rsidR="00B15F7C" w:rsidRPr="009D70DA">
              <w:t>p</w:t>
            </w:r>
            <w:r w:rsidR="00A91041" w:rsidRPr="009D70DA">
              <w:t xml:space="preserve">hysical </w:t>
            </w:r>
            <w:r w:rsidR="00A91041" w:rsidRPr="009D70DA">
              <w:lastRenderedPageBreak/>
              <w:t>space and face-</w:t>
            </w:r>
            <w:r w:rsidRPr="009D70DA">
              <w:t>to-face interactions with patrons was</w:t>
            </w:r>
            <w:r w:rsidRPr="009D70DA">
              <w:rPr>
                <w:lang w:val="en-AU"/>
              </w:rPr>
              <w:t xml:space="preserve"> emphasised</w:t>
            </w:r>
            <w:r w:rsidRPr="009D70DA">
              <w:t>. The internet’s contribution to patrons’ social capital was questioned.</w:t>
            </w:r>
          </w:p>
        </w:tc>
      </w:tr>
      <w:tr w:rsidR="00DD2FA3" w:rsidRPr="005F00CB" w14:paraId="688905BF" w14:textId="77777777" w:rsidTr="008B3C37">
        <w:trPr>
          <w:trHeight w:val="554"/>
        </w:trPr>
        <w:tc>
          <w:tcPr>
            <w:tcW w:w="1638" w:type="dxa"/>
            <w:shd w:val="clear" w:color="auto" w:fill="auto"/>
          </w:tcPr>
          <w:p w14:paraId="6CCC5A64" w14:textId="77777777" w:rsidR="00F45873" w:rsidRPr="009D70DA" w:rsidRDefault="00F45873" w:rsidP="007C71A1">
            <w:pPr>
              <w:rPr>
                <w:rFonts w:eastAsiaTheme="minorHAnsi"/>
                <w:lang w:val="en-AU"/>
              </w:rPr>
            </w:pPr>
            <w:proofErr w:type="spellStart"/>
            <w:r w:rsidRPr="009D70DA">
              <w:rPr>
                <w:rFonts w:eastAsiaTheme="minorHAnsi"/>
                <w:lang w:val="en-AU"/>
              </w:rPr>
              <w:t>Khoir</w:t>
            </w:r>
            <w:proofErr w:type="spellEnd"/>
            <w:r w:rsidRPr="009D70DA">
              <w:rPr>
                <w:rFonts w:eastAsiaTheme="minorHAnsi"/>
                <w:lang w:val="en-AU"/>
              </w:rPr>
              <w:t xml:space="preserve">, Du, Davidson &amp; </w:t>
            </w:r>
            <w:proofErr w:type="spellStart"/>
            <w:r w:rsidRPr="009D70DA">
              <w:rPr>
                <w:rFonts w:eastAsiaTheme="minorHAnsi"/>
                <w:lang w:val="en-AU"/>
              </w:rPr>
              <w:t>Koronios</w:t>
            </w:r>
            <w:proofErr w:type="spellEnd"/>
            <w:r w:rsidRPr="009D70DA">
              <w:rPr>
                <w:rFonts w:eastAsiaTheme="minorHAnsi"/>
                <w:lang w:val="en-AU"/>
              </w:rPr>
              <w:t xml:space="preserve"> 2017</w:t>
            </w:r>
          </w:p>
        </w:tc>
        <w:tc>
          <w:tcPr>
            <w:tcW w:w="2319" w:type="dxa"/>
            <w:shd w:val="clear" w:color="auto" w:fill="auto"/>
          </w:tcPr>
          <w:p w14:paraId="76B49726" w14:textId="2A6E1DCF" w:rsidR="00F45873" w:rsidRPr="009D70DA" w:rsidRDefault="00F45873" w:rsidP="00E654F1">
            <w:pPr>
              <w:rPr>
                <w:color w:val="000000"/>
              </w:rPr>
            </w:pPr>
            <w:r w:rsidRPr="009D70DA">
              <w:rPr>
                <w:color w:val="000000"/>
              </w:rPr>
              <w:t>Explo</w:t>
            </w:r>
            <w:r w:rsidR="00D66078" w:rsidRPr="009D70DA">
              <w:rPr>
                <w:color w:val="000000"/>
              </w:rPr>
              <w:t>res Asian migrants’ expectations</w:t>
            </w:r>
            <w:r w:rsidRPr="009D70DA">
              <w:rPr>
                <w:color w:val="000000"/>
              </w:rPr>
              <w:t xml:space="preserve"> o</w:t>
            </w:r>
            <w:r w:rsidR="00E654F1" w:rsidRPr="009D70DA">
              <w:rPr>
                <w:color w:val="000000"/>
              </w:rPr>
              <w:t>f</w:t>
            </w:r>
            <w:r w:rsidRPr="009D70DA">
              <w:rPr>
                <w:color w:val="000000"/>
              </w:rPr>
              <w:t xml:space="preserve"> </w:t>
            </w:r>
            <w:r w:rsidR="00A91041" w:rsidRPr="009D70DA">
              <w:rPr>
                <w:color w:val="000000"/>
              </w:rPr>
              <w:t xml:space="preserve">the </w:t>
            </w:r>
            <w:r w:rsidRPr="009D70DA">
              <w:rPr>
                <w:color w:val="000000"/>
              </w:rPr>
              <w:t>ways library services can generate social capital.</w:t>
            </w:r>
          </w:p>
        </w:tc>
        <w:tc>
          <w:tcPr>
            <w:tcW w:w="2256" w:type="dxa"/>
            <w:shd w:val="clear" w:color="auto" w:fill="auto"/>
          </w:tcPr>
          <w:p w14:paraId="09179182" w14:textId="77777777" w:rsidR="00F45873" w:rsidRPr="009D70DA" w:rsidRDefault="00F45873" w:rsidP="007C71A1">
            <w:r w:rsidRPr="009D70DA">
              <w:t>Surveys and in-depth interviews of 170 Asian migrants in South Australia.</w:t>
            </w:r>
          </w:p>
        </w:tc>
        <w:tc>
          <w:tcPr>
            <w:tcW w:w="2669" w:type="dxa"/>
            <w:shd w:val="clear" w:color="auto" w:fill="auto"/>
          </w:tcPr>
          <w:p w14:paraId="6835CFB6" w14:textId="385AB109" w:rsidR="00F45873" w:rsidRPr="009D70DA" w:rsidRDefault="00F45873" w:rsidP="000E1E18">
            <w:r w:rsidRPr="009D70DA">
              <w:t>Immigrants were confident that using library services would enhance their English language skills and digital expertise while providing a bridge to preserve their first language</w:t>
            </w:r>
            <w:r w:rsidR="00D66078" w:rsidRPr="009D70DA">
              <w:t xml:space="preserve"> and relationship with their home country</w:t>
            </w:r>
            <w:r w:rsidRPr="009D70DA">
              <w:t xml:space="preserve">. </w:t>
            </w:r>
            <w:r w:rsidR="00D66078" w:rsidRPr="009D70DA">
              <w:t xml:space="preserve">There </w:t>
            </w:r>
            <w:r w:rsidR="000E1E18" w:rsidRPr="009D70DA">
              <w:t>were</w:t>
            </w:r>
            <w:r w:rsidR="00D66078" w:rsidRPr="009D70DA">
              <w:t xml:space="preserve"> high expectation</w:t>
            </w:r>
            <w:r w:rsidR="00854095" w:rsidRPr="009D70DA">
              <w:t>s</w:t>
            </w:r>
            <w:r w:rsidR="00D66078" w:rsidRPr="009D70DA">
              <w:t xml:space="preserve"> </w:t>
            </w:r>
            <w:r w:rsidR="000E1E18" w:rsidRPr="009D70DA">
              <w:t>of</w:t>
            </w:r>
            <w:r w:rsidR="00D66078" w:rsidRPr="009D70DA">
              <w:t xml:space="preserve"> study participants that public libraries would support them with training skills related to employment. </w:t>
            </w:r>
            <w:r w:rsidRPr="009D70DA">
              <w:t xml:space="preserve">New friendships through engagement in library programs </w:t>
            </w:r>
            <w:r w:rsidR="001D5AD7" w:rsidRPr="009D70DA">
              <w:t xml:space="preserve">rated </w:t>
            </w:r>
            <w:r w:rsidRPr="009D70DA">
              <w:t>high</w:t>
            </w:r>
            <w:r w:rsidR="001D5AD7" w:rsidRPr="009D70DA">
              <w:t>ly among</w:t>
            </w:r>
            <w:r w:rsidRPr="009D70DA">
              <w:t xml:space="preserve"> expectations</w:t>
            </w:r>
            <w:r w:rsidR="001D5AD7" w:rsidRPr="009D70DA">
              <w:t xml:space="preserve"> of study respondents</w:t>
            </w:r>
            <w:r w:rsidRPr="009D70DA">
              <w:t xml:space="preserve">. </w:t>
            </w:r>
          </w:p>
        </w:tc>
        <w:tc>
          <w:tcPr>
            <w:tcW w:w="1816" w:type="dxa"/>
            <w:shd w:val="clear" w:color="auto" w:fill="auto"/>
          </w:tcPr>
          <w:p w14:paraId="736E6EC0" w14:textId="0AF4B90B" w:rsidR="00F45873" w:rsidRPr="009D70DA" w:rsidRDefault="00E51950" w:rsidP="00E51950">
            <w:pPr>
              <w:rPr>
                <w:color w:val="000000"/>
              </w:rPr>
            </w:pPr>
            <w:r w:rsidRPr="009D70DA">
              <w:rPr>
                <w:color w:val="000000"/>
              </w:rPr>
              <w:t xml:space="preserve">Social </w:t>
            </w:r>
            <w:r w:rsidR="00900A10" w:rsidRPr="009D70DA">
              <w:rPr>
                <w:color w:val="000000"/>
              </w:rPr>
              <w:t>(</w:t>
            </w:r>
            <w:r w:rsidRPr="009D70DA">
              <w:rPr>
                <w:color w:val="000000"/>
              </w:rPr>
              <w:t>s</w:t>
            </w:r>
            <w:r w:rsidR="00F45873" w:rsidRPr="009D70DA">
              <w:rPr>
                <w:color w:val="000000"/>
              </w:rPr>
              <w:t>ocial capital</w:t>
            </w:r>
            <w:r w:rsidR="00900A10" w:rsidRPr="009D70DA">
              <w:rPr>
                <w:color w:val="000000"/>
              </w:rPr>
              <w:t>)</w:t>
            </w:r>
          </w:p>
        </w:tc>
        <w:tc>
          <w:tcPr>
            <w:tcW w:w="2754" w:type="dxa"/>
            <w:shd w:val="clear" w:color="auto" w:fill="auto"/>
          </w:tcPr>
          <w:p w14:paraId="6E9BC2B1" w14:textId="42DA3A0D" w:rsidR="00F45873" w:rsidRPr="009D70DA" w:rsidRDefault="009C1C8D" w:rsidP="00205D8C">
            <w:r w:rsidRPr="009D70DA">
              <w:t>Enhancing s</w:t>
            </w:r>
            <w:r w:rsidR="00F45873" w:rsidRPr="009D70DA">
              <w:t xml:space="preserve">ocial capital </w:t>
            </w:r>
            <w:r w:rsidRPr="009D70DA">
              <w:t>is consider</w:t>
            </w:r>
            <w:r w:rsidR="0015085C">
              <w:t>ed</w:t>
            </w:r>
            <w:r w:rsidRPr="009D70DA">
              <w:t xml:space="preserve"> an</w:t>
            </w:r>
            <w:r w:rsidR="00F45873" w:rsidRPr="009D70DA">
              <w:t xml:space="preserve"> important contributor to immigrants' settlement in a multicultural society. Although it was noted that a </w:t>
            </w:r>
            <w:r w:rsidR="00E654F1" w:rsidRPr="009D70DA">
              <w:t xml:space="preserve">direct </w:t>
            </w:r>
            <w:r w:rsidR="00F45873" w:rsidRPr="009D70DA">
              <w:t>causal link between immigrants' use of public libraries and social capital was not established</w:t>
            </w:r>
            <w:r w:rsidR="00E97640" w:rsidRPr="009D70DA">
              <w:t xml:space="preserve"> in the study</w:t>
            </w:r>
            <w:r w:rsidR="00E654F1" w:rsidRPr="009D70DA">
              <w:t xml:space="preserve">, many aspects of library services </w:t>
            </w:r>
            <w:r w:rsidR="00E97640" w:rsidRPr="009D70DA">
              <w:t xml:space="preserve">have the potential to </w:t>
            </w:r>
            <w:r w:rsidR="00E654F1" w:rsidRPr="009D70DA">
              <w:t xml:space="preserve">trigger its formation. </w:t>
            </w:r>
            <w:r w:rsidR="00854095" w:rsidRPr="009D70DA">
              <w:t>The study concluded that w</w:t>
            </w:r>
            <w:r w:rsidR="004E7059" w:rsidRPr="009D70DA">
              <w:t xml:space="preserve">hile </w:t>
            </w:r>
            <w:r w:rsidR="00E654F1" w:rsidRPr="009D70DA">
              <w:t xml:space="preserve">intangible assets such as opportunities to develop social networks </w:t>
            </w:r>
            <w:r w:rsidR="00E97640" w:rsidRPr="009D70DA">
              <w:t xml:space="preserve">were </w:t>
            </w:r>
            <w:r w:rsidR="00205D8C" w:rsidRPr="009D70DA">
              <w:t>evident</w:t>
            </w:r>
            <w:r w:rsidR="00854095" w:rsidRPr="009D70DA">
              <w:t>,</w:t>
            </w:r>
            <w:r w:rsidR="004E7059" w:rsidRPr="009D70DA">
              <w:t xml:space="preserve"> the library has a social constructionist role </w:t>
            </w:r>
            <w:r w:rsidR="00E654F1" w:rsidRPr="009D70DA">
              <w:t xml:space="preserve">in encouraging </w:t>
            </w:r>
            <w:r w:rsidR="00205D8C" w:rsidRPr="009D70DA">
              <w:t>communality in</w:t>
            </w:r>
            <w:r w:rsidR="00E654F1" w:rsidRPr="009D70DA">
              <w:t xml:space="preserve"> fostering </w:t>
            </w:r>
            <w:r w:rsidR="00E654F1" w:rsidRPr="009D70DA">
              <w:lastRenderedPageBreak/>
              <w:t>the values</w:t>
            </w:r>
            <w:r w:rsidR="00205D8C" w:rsidRPr="009D70DA">
              <w:t xml:space="preserve"> and norms</w:t>
            </w:r>
            <w:r w:rsidR="00E654F1" w:rsidRPr="009D70DA">
              <w:t xml:space="preserve"> of the new country</w:t>
            </w:r>
            <w:r w:rsidR="004E7059" w:rsidRPr="009D70DA">
              <w:t>.</w:t>
            </w:r>
            <w:r w:rsidR="00E654F1" w:rsidRPr="009D70DA">
              <w:t xml:space="preserve"> </w:t>
            </w:r>
          </w:p>
        </w:tc>
      </w:tr>
      <w:tr w:rsidR="00DD2FA3" w:rsidRPr="005F00CB" w14:paraId="44B2F900" w14:textId="77777777" w:rsidTr="00825D69">
        <w:tc>
          <w:tcPr>
            <w:tcW w:w="1638" w:type="dxa"/>
            <w:shd w:val="clear" w:color="auto" w:fill="auto"/>
          </w:tcPr>
          <w:p w14:paraId="64D8685B" w14:textId="5DF96579" w:rsidR="00AE685F" w:rsidRPr="009D70DA" w:rsidRDefault="00AE685F" w:rsidP="00AE685F">
            <w:pPr>
              <w:rPr>
                <w:rFonts w:eastAsiaTheme="minorHAnsi"/>
                <w:lang w:val="en-AU"/>
              </w:rPr>
            </w:pPr>
            <w:r w:rsidRPr="009D70DA">
              <w:rPr>
                <w:rFonts w:eastAsiaTheme="minorHAnsi"/>
                <w:lang w:val="en-AU"/>
              </w:rPr>
              <w:t>Smeaton, Bruce, Hughes &amp; Davis 2017</w:t>
            </w:r>
          </w:p>
        </w:tc>
        <w:tc>
          <w:tcPr>
            <w:tcW w:w="2319" w:type="dxa"/>
            <w:shd w:val="clear" w:color="auto" w:fill="auto"/>
          </w:tcPr>
          <w:p w14:paraId="5D2869B0" w14:textId="2F0A4EE1" w:rsidR="00AE685F" w:rsidRPr="009D70DA" w:rsidRDefault="00AE685F" w:rsidP="00AE685F">
            <w:pPr>
              <w:rPr>
                <w:color w:val="000000"/>
              </w:rPr>
            </w:pPr>
            <w:r w:rsidRPr="009D70DA">
              <w:rPr>
                <w:color w:val="000000"/>
              </w:rPr>
              <w:t>Explores online information experiences of individuals experiencing socioeconomic disadvantage in Australia and whether these are exclusionary.</w:t>
            </w:r>
          </w:p>
        </w:tc>
        <w:tc>
          <w:tcPr>
            <w:tcW w:w="2256" w:type="dxa"/>
            <w:shd w:val="clear" w:color="auto" w:fill="auto"/>
          </w:tcPr>
          <w:p w14:paraId="726B5DBA" w14:textId="5CE8983A" w:rsidR="00AE685F" w:rsidRPr="009D70DA" w:rsidRDefault="00EB350C" w:rsidP="00C71110">
            <w:r w:rsidRPr="009D70DA">
              <w:t>Small pilo</w:t>
            </w:r>
            <w:r w:rsidR="00744F2F" w:rsidRPr="009D70DA">
              <w:t xml:space="preserve">t study </w:t>
            </w:r>
            <w:r w:rsidR="00124ABF" w:rsidRPr="009D70DA">
              <w:t>capturing the lived experience of low socio-economic status</w:t>
            </w:r>
            <w:r w:rsidR="00744F2F" w:rsidRPr="009D70DA">
              <w:t xml:space="preserve"> </w:t>
            </w:r>
            <w:r w:rsidR="00264C4B" w:rsidRPr="009D70DA">
              <w:t>interviewees with intermittent access to the internet using smart phone devices and pre-paid plans</w:t>
            </w:r>
            <w:r w:rsidR="00C71110">
              <w:t xml:space="preserve"> from an Australian perspective. </w:t>
            </w:r>
          </w:p>
        </w:tc>
        <w:tc>
          <w:tcPr>
            <w:tcW w:w="2669" w:type="dxa"/>
            <w:shd w:val="clear" w:color="auto" w:fill="auto"/>
          </w:tcPr>
          <w:p w14:paraId="1BF78BC7" w14:textId="758414C2" w:rsidR="00AE685F" w:rsidRPr="009D70DA" w:rsidRDefault="00264C4B" w:rsidP="00264C4B">
            <w:r w:rsidRPr="009D70DA">
              <w:t>E</w:t>
            </w:r>
            <w:r w:rsidR="00124ABF" w:rsidRPr="009D70DA">
              <w:t xml:space="preserve">xperiences </w:t>
            </w:r>
            <w:r w:rsidR="00744F2F" w:rsidRPr="009D70DA">
              <w:t>of study participants found fo</w:t>
            </w:r>
            <w:r w:rsidRPr="009D70DA">
              <w:t>ur common online</w:t>
            </w:r>
            <w:r w:rsidR="00744F2F" w:rsidRPr="009D70DA">
              <w:t xml:space="preserve"> experiences: </w:t>
            </w:r>
            <w:r w:rsidR="00124ABF" w:rsidRPr="009D70DA">
              <w:t>endless information journey</w:t>
            </w:r>
            <w:r w:rsidR="00744F2F" w:rsidRPr="009D70DA">
              <w:t xml:space="preserve"> (both + and -)</w:t>
            </w:r>
            <w:r w:rsidR="00124ABF" w:rsidRPr="009D70DA">
              <w:t xml:space="preserve">, uncontrolled information space </w:t>
            </w:r>
            <w:r w:rsidR="00744F2F" w:rsidRPr="009D70DA">
              <w:t xml:space="preserve">(cyber safety), </w:t>
            </w:r>
            <w:r w:rsidR="00124ABF" w:rsidRPr="009D70DA">
              <w:t>inadequate</w:t>
            </w:r>
            <w:r w:rsidR="00744F2F" w:rsidRPr="009D70DA">
              <w:t xml:space="preserve"> and complex information</w:t>
            </w:r>
            <w:r w:rsidRPr="009D70DA">
              <w:t xml:space="preserve"> and increasing necessity to engage with </w:t>
            </w:r>
            <w:r w:rsidR="00744F2F" w:rsidRPr="009D70DA">
              <w:t>digital space</w:t>
            </w:r>
            <w:r w:rsidRPr="009D70DA">
              <w:t>.</w:t>
            </w:r>
          </w:p>
        </w:tc>
        <w:tc>
          <w:tcPr>
            <w:tcW w:w="1816" w:type="dxa"/>
            <w:shd w:val="clear" w:color="auto" w:fill="auto"/>
          </w:tcPr>
          <w:p w14:paraId="02BA17A8" w14:textId="1FFB57AF" w:rsidR="00AE685F" w:rsidRPr="009D70DA" w:rsidRDefault="00E51950" w:rsidP="00E51950">
            <w:pPr>
              <w:rPr>
                <w:color w:val="000000"/>
              </w:rPr>
            </w:pPr>
            <w:r w:rsidRPr="009D70DA">
              <w:rPr>
                <w:color w:val="000000"/>
              </w:rPr>
              <w:t>Social (d</w:t>
            </w:r>
            <w:r w:rsidR="00264748" w:rsidRPr="009D70DA">
              <w:rPr>
                <w:color w:val="000000"/>
              </w:rPr>
              <w:t>igital inclusion</w:t>
            </w:r>
            <w:r w:rsidR="00900A10" w:rsidRPr="009D70DA">
              <w:rPr>
                <w:color w:val="000000"/>
              </w:rPr>
              <w:t>)</w:t>
            </w:r>
          </w:p>
        </w:tc>
        <w:tc>
          <w:tcPr>
            <w:tcW w:w="2754" w:type="dxa"/>
            <w:shd w:val="clear" w:color="auto" w:fill="auto"/>
          </w:tcPr>
          <w:p w14:paraId="382A2AA6" w14:textId="5307FDF8" w:rsidR="00AE685F" w:rsidRPr="009D70DA" w:rsidRDefault="00124ABF" w:rsidP="00E9095C">
            <w:pPr>
              <w:autoSpaceDE w:val="0"/>
              <w:autoSpaceDN w:val="0"/>
              <w:adjustRightInd w:val="0"/>
              <w:rPr>
                <w:rFonts w:eastAsiaTheme="minorHAnsi"/>
                <w:lang w:val="en-AU"/>
              </w:rPr>
            </w:pPr>
            <w:r w:rsidRPr="009D70DA">
              <w:rPr>
                <w:rFonts w:eastAsiaTheme="minorHAnsi"/>
                <w:lang w:val="en-AU"/>
              </w:rPr>
              <w:t xml:space="preserve">The study </w:t>
            </w:r>
            <w:r w:rsidR="002F7F8D" w:rsidRPr="009D70DA">
              <w:rPr>
                <w:rFonts w:eastAsiaTheme="minorHAnsi"/>
                <w:lang w:val="en-AU"/>
              </w:rPr>
              <w:t>highlights the</w:t>
            </w:r>
            <w:r w:rsidRPr="009D70DA">
              <w:rPr>
                <w:rFonts w:eastAsiaTheme="minorHAnsi"/>
                <w:lang w:val="en-AU"/>
              </w:rPr>
              <w:t xml:space="preserve"> </w:t>
            </w:r>
            <w:r w:rsidR="00E9095C" w:rsidRPr="009D70DA">
              <w:rPr>
                <w:rFonts w:eastAsiaTheme="minorHAnsi"/>
                <w:lang w:val="en-AU"/>
              </w:rPr>
              <w:t>‘</w:t>
            </w:r>
            <w:r w:rsidR="002F7F8D" w:rsidRPr="009D70DA">
              <w:rPr>
                <w:rFonts w:eastAsiaTheme="minorHAnsi"/>
                <w:lang w:val="en-AU"/>
              </w:rPr>
              <w:t xml:space="preserve">digital vicious circle’, where individuals experiencing socioeconomic disadvantage and in need of assistance from government and non-government sources have the least knowledge and access. </w:t>
            </w:r>
            <w:r w:rsidRPr="009D70DA">
              <w:rPr>
                <w:rFonts w:eastAsiaTheme="minorHAnsi"/>
                <w:lang w:val="en-AU"/>
              </w:rPr>
              <w:t xml:space="preserve">Information professionals </w:t>
            </w:r>
            <w:r w:rsidR="002F7F8D" w:rsidRPr="009D70DA">
              <w:rPr>
                <w:rFonts w:eastAsiaTheme="minorHAnsi"/>
                <w:lang w:val="en-AU"/>
              </w:rPr>
              <w:t xml:space="preserve">including libraries </w:t>
            </w:r>
            <w:r w:rsidRPr="009D70DA">
              <w:rPr>
                <w:rFonts w:eastAsiaTheme="minorHAnsi"/>
                <w:lang w:val="en-AU"/>
              </w:rPr>
              <w:t xml:space="preserve">need </w:t>
            </w:r>
            <w:r w:rsidR="002F7F8D" w:rsidRPr="009D70DA">
              <w:rPr>
                <w:rFonts w:eastAsiaTheme="minorHAnsi"/>
                <w:lang w:val="en-AU"/>
              </w:rPr>
              <w:t xml:space="preserve">greater awareness of </w:t>
            </w:r>
            <w:r w:rsidRPr="009D70DA">
              <w:rPr>
                <w:rFonts w:eastAsiaTheme="minorHAnsi"/>
                <w:lang w:val="en-AU"/>
              </w:rPr>
              <w:t xml:space="preserve">  </w:t>
            </w:r>
            <w:r w:rsidR="002F7F8D" w:rsidRPr="009D70DA">
              <w:rPr>
                <w:rFonts w:eastAsiaTheme="minorHAnsi"/>
                <w:lang w:val="en-AU"/>
              </w:rPr>
              <w:t>complexities of socioeconomic disadvantage</w:t>
            </w:r>
            <w:r w:rsidRPr="009D70DA">
              <w:rPr>
                <w:rFonts w:eastAsiaTheme="minorHAnsi"/>
                <w:lang w:val="en-AU"/>
              </w:rPr>
              <w:t xml:space="preserve"> </w:t>
            </w:r>
            <w:r w:rsidR="00264C4B" w:rsidRPr="009D70DA">
              <w:rPr>
                <w:rFonts w:eastAsiaTheme="minorHAnsi"/>
                <w:lang w:val="en-AU"/>
              </w:rPr>
              <w:t>in order to</w:t>
            </w:r>
            <w:r w:rsidRPr="009D70DA">
              <w:rPr>
                <w:rFonts w:eastAsiaTheme="minorHAnsi"/>
                <w:lang w:val="en-AU"/>
              </w:rPr>
              <w:t xml:space="preserve"> </w:t>
            </w:r>
            <w:r w:rsidR="002F7F8D" w:rsidRPr="009D70DA">
              <w:rPr>
                <w:rFonts w:eastAsiaTheme="minorHAnsi"/>
                <w:lang w:val="en-AU"/>
              </w:rPr>
              <w:t>enhance support.</w:t>
            </w:r>
            <w:r w:rsidRPr="009D70DA">
              <w:rPr>
                <w:rFonts w:eastAsiaTheme="minorHAnsi"/>
                <w:lang w:val="en-AU"/>
              </w:rPr>
              <w:t xml:space="preserve"> </w:t>
            </w:r>
          </w:p>
        </w:tc>
      </w:tr>
      <w:tr w:rsidR="00DD2FA3" w:rsidRPr="005F00CB" w14:paraId="092DF0A2" w14:textId="77777777" w:rsidTr="00825D69">
        <w:tc>
          <w:tcPr>
            <w:tcW w:w="1638" w:type="dxa"/>
            <w:shd w:val="clear" w:color="auto" w:fill="auto"/>
          </w:tcPr>
          <w:p w14:paraId="0800DF39" w14:textId="77777777" w:rsidR="00F45873" w:rsidRPr="009D70DA" w:rsidRDefault="00F45873" w:rsidP="007C71A1">
            <w:pPr>
              <w:rPr>
                <w:rFonts w:eastAsiaTheme="minorHAnsi"/>
                <w:lang w:val="en-AU"/>
              </w:rPr>
            </w:pPr>
            <w:r w:rsidRPr="009D70DA">
              <w:rPr>
                <w:rFonts w:eastAsiaTheme="minorHAnsi"/>
                <w:lang w:val="en-AU"/>
              </w:rPr>
              <w:t xml:space="preserve">Taylor, Jaeger, McDermott, Kodama &amp; </w:t>
            </w:r>
            <w:proofErr w:type="spellStart"/>
            <w:r w:rsidRPr="009D70DA">
              <w:rPr>
                <w:rFonts w:eastAsiaTheme="minorHAnsi"/>
                <w:lang w:val="en-AU"/>
              </w:rPr>
              <w:t>Bertot</w:t>
            </w:r>
            <w:proofErr w:type="spellEnd"/>
            <w:r w:rsidRPr="009D70DA">
              <w:rPr>
                <w:rFonts w:eastAsiaTheme="minorHAnsi"/>
                <w:lang w:val="en-AU"/>
              </w:rPr>
              <w:t xml:space="preserve"> 2012</w:t>
            </w:r>
          </w:p>
        </w:tc>
        <w:tc>
          <w:tcPr>
            <w:tcW w:w="2319" w:type="dxa"/>
            <w:shd w:val="clear" w:color="auto" w:fill="auto"/>
          </w:tcPr>
          <w:p w14:paraId="2480490E" w14:textId="09326869" w:rsidR="00F45873" w:rsidRPr="009D70DA" w:rsidRDefault="00F45873" w:rsidP="00887557">
            <w:pPr>
              <w:rPr>
                <w:color w:val="000000"/>
              </w:rPr>
            </w:pPr>
            <w:r w:rsidRPr="009D70DA">
              <w:rPr>
                <w:color w:val="000000"/>
              </w:rPr>
              <w:t xml:space="preserve">Examines the Internet-related responses of public libraries to the sustained economic downturn of recent </w:t>
            </w:r>
            <w:r w:rsidR="00887557" w:rsidRPr="009D70DA">
              <w:rPr>
                <w:color w:val="000000"/>
              </w:rPr>
              <w:t>times</w:t>
            </w:r>
            <w:r w:rsidR="0015085C">
              <w:rPr>
                <w:color w:val="000000"/>
              </w:rPr>
              <w:t xml:space="preserve"> in the US</w:t>
            </w:r>
            <w:r w:rsidR="00887557" w:rsidRPr="009D70DA">
              <w:rPr>
                <w:color w:val="000000"/>
              </w:rPr>
              <w:t>.</w:t>
            </w:r>
          </w:p>
        </w:tc>
        <w:tc>
          <w:tcPr>
            <w:tcW w:w="2256" w:type="dxa"/>
            <w:shd w:val="clear" w:color="auto" w:fill="auto"/>
          </w:tcPr>
          <w:p w14:paraId="687F57AB" w14:textId="58F17282" w:rsidR="00F45873" w:rsidRPr="009D70DA" w:rsidRDefault="00F45873" w:rsidP="00887557">
            <w:r w:rsidRPr="009D70DA">
              <w:t>Analysis of various data</w:t>
            </w:r>
            <w:r w:rsidR="00887557" w:rsidRPr="009D70DA">
              <w:t xml:space="preserve"> sources</w:t>
            </w:r>
            <w:r w:rsidRPr="009D70DA">
              <w:t xml:space="preserve"> including US public library survey, site visits and interviews at various libraries and desktop analysis of impacts of </w:t>
            </w:r>
            <w:r w:rsidR="00887557" w:rsidRPr="009D70DA">
              <w:t xml:space="preserve">the </w:t>
            </w:r>
            <w:r w:rsidRPr="009D70DA">
              <w:t>economic downturn.</w:t>
            </w:r>
          </w:p>
        </w:tc>
        <w:tc>
          <w:tcPr>
            <w:tcW w:w="2669" w:type="dxa"/>
            <w:shd w:val="clear" w:color="auto" w:fill="auto"/>
          </w:tcPr>
          <w:p w14:paraId="78531871" w14:textId="1BD2F4C5" w:rsidR="00F45873" w:rsidRPr="009D70DA" w:rsidRDefault="00F45873" w:rsidP="00AA1B24">
            <w:r w:rsidRPr="009D70DA">
              <w:t xml:space="preserve">Public libraries serve as the major public outlet for free Internet access and assistance for people with no access, insufﬁcient access, or insufﬁcient digital literacy. </w:t>
            </w:r>
            <w:r w:rsidR="00AA1B24" w:rsidRPr="009D70DA">
              <w:t>US libraries e</w:t>
            </w:r>
            <w:r w:rsidRPr="009D70DA">
              <w:t xml:space="preserve">videnced a spike in </w:t>
            </w:r>
            <w:r w:rsidR="00AA1B24" w:rsidRPr="009D70DA">
              <w:lastRenderedPageBreak/>
              <w:t>usage</w:t>
            </w:r>
            <w:r w:rsidRPr="009D70DA">
              <w:t xml:space="preserve"> during economic downturns.  Increased workload for librarians </w:t>
            </w:r>
            <w:r w:rsidR="00AA1B24" w:rsidRPr="009D70DA">
              <w:t xml:space="preserve">assisting </w:t>
            </w:r>
            <w:r w:rsidRPr="009D70DA">
              <w:t>patrons need</w:t>
            </w:r>
            <w:r w:rsidR="00AA1B24" w:rsidRPr="009D70DA">
              <w:t>s</w:t>
            </w:r>
            <w:r w:rsidRPr="009D70DA">
              <w:t xml:space="preserve"> to be counted as an expansion </w:t>
            </w:r>
            <w:r w:rsidR="00AA1B24" w:rsidRPr="009D70DA">
              <w:t>upon</w:t>
            </w:r>
            <w:r w:rsidRPr="009D70DA">
              <w:t xml:space="preserve"> previous library services associated with the digital age. </w:t>
            </w:r>
          </w:p>
        </w:tc>
        <w:tc>
          <w:tcPr>
            <w:tcW w:w="1816" w:type="dxa"/>
            <w:shd w:val="clear" w:color="auto" w:fill="auto"/>
          </w:tcPr>
          <w:p w14:paraId="26DD9CFD" w14:textId="76685953" w:rsidR="00F45873" w:rsidRPr="009D70DA" w:rsidRDefault="00C81700" w:rsidP="007C71A1">
            <w:pPr>
              <w:rPr>
                <w:color w:val="000000"/>
              </w:rPr>
            </w:pPr>
            <w:r w:rsidRPr="009D70DA">
              <w:rPr>
                <w:color w:val="000000"/>
              </w:rPr>
              <w:lastRenderedPageBreak/>
              <w:t>Economic impact</w:t>
            </w:r>
          </w:p>
        </w:tc>
        <w:tc>
          <w:tcPr>
            <w:tcW w:w="2754" w:type="dxa"/>
            <w:shd w:val="clear" w:color="auto" w:fill="auto"/>
          </w:tcPr>
          <w:p w14:paraId="1EDC6C28" w14:textId="18648B2B" w:rsidR="00F45873" w:rsidRPr="009D70DA" w:rsidRDefault="00796F2A" w:rsidP="00796F2A">
            <w:pPr>
              <w:autoSpaceDE w:val="0"/>
              <w:autoSpaceDN w:val="0"/>
              <w:adjustRightInd w:val="0"/>
              <w:rPr>
                <w:rFonts w:eastAsiaTheme="minorHAnsi"/>
                <w:lang w:val="en-AU"/>
              </w:rPr>
            </w:pPr>
            <w:r>
              <w:rPr>
                <w:rFonts w:eastAsiaTheme="minorHAnsi"/>
                <w:lang w:val="en-AU"/>
              </w:rPr>
              <w:t>This s</w:t>
            </w:r>
            <w:r w:rsidR="00F45873" w:rsidRPr="009D70DA">
              <w:rPr>
                <w:rFonts w:eastAsiaTheme="minorHAnsi"/>
                <w:lang w:val="en-AU"/>
              </w:rPr>
              <w:t xml:space="preserve">tudy recommends that library funding increase during economic downturns. Libraries need to be considered as part of larger economic development including </w:t>
            </w:r>
            <w:r w:rsidR="00AA1B24" w:rsidRPr="009D70DA">
              <w:rPr>
                <w:rFonts w:eastAsiaTheme="minorHAnsi"/>
                <w:lang w:val="en-AU"/>
              </w:rPr>
              <w:t xml:space="preserve">contribution to </w:t>
            </w:r>
            <w:r w:rsidR="00F45873" w:rsidRPr="009D70DA">
              <w:rPr>
                <w:rFonts w:eastAsiaTheme="minorHAnsi"/>
                <w:lang w:val="en-AU"/>
              </w:rPr>
              <w:t xml:space="preserve">employment and </w:t>
            </w:r>
            <w:r w:rsidR="00F45873" w:rsidRPr="009D70DA">
              <w:rPr>
                <w:rFonts w:eastAsiaTheme="minorHAnsi"/>
                <w:lang w:val="en-AU"/>
              </w:rPr>
              <w:lastRenderedPageBreak/>
              <w:t>education infrastructure in supporting 21</w:t>
            </w:r>
            <w:r w:rsidR="00F45873" w:rsidRPr="009D70DA">
              <w:rPr>
                <w:rFonts w:eastAsiaTheme="minorHAnsi"/>
                <w:vertAlign w:val="superscript"/>
                <w:lang w:val="en-AU"/>
              </w:rPr>
              <w:t>st</w:t>
            </w:r>
            <w:r w:rsidR="00F45873" w:rsidRPr="009D70DA">
              <w:rPr>
                <w:rFonts w:eastAsiaTheme="minorHAnsi"/>
                <w:lang w:val="en-AU"/>
              </w:rPr>
              <w:t xml:space="preserve"> </w:t>
            </w:r>
            <w:r w:rsidR="00AA1B24" w:rsidRPr="009D70DA">
              <w:rPr>
                <w:rFonts w:eastAsiaTheme="minorHAnsi"/>
                <w:lang w:val="en-AU"/>
              </w:rPr>
              <w:t>c</w:t>
            </w:r>
            <w:r w:rsidR="00F45873" w:rsidRPr="009D70DA">
              <w:rPr>
                <w:rFonts w:eastAsiaTheme="minorHAnsi"/>
                <w:lang w:val="en-AU"/>
              </w:rPr>
              <w:t>entury skill development</w:t>
            </w:r>
            <w:r w:rsidR="0015085C">
              <w:rPr>
                <w:rFonts w:eastAsiaTheme="minorHAnsi"/>
                <w:lang w:val="en-AU"/>
              </w:rPr>
              <w:t>,</w:t>
            </w:r>
            <w:r w:rsidR="00F45873" w:rsidRPr="009D70DA">
              <w:rPr>
                <w:rFonts w:eastAsiaTheme="minorHAnsi"/>
                <w:lang w:val="en-AU"/>
              </w:rPr>
              <w:t xml:space="preserve"> particularly for disadvantaged citizens. Ensure libraries have high quality public-access technology and accompanying backbone support.</w:t>
            </w:r>
          </w:p>
        </w:tc>
      </w:tr>
      <w:tr w:rsidR="00DD2FA3" w:rsidRPr="005F00CB" w14:paraId="06CC0080" w14:textId="77777777" w:rsidTr="00825D69">
        <w:tc>
          <w:tcPr>
            <w:tcW w:w="1638" w:type="dxa"/>
            <w:shd w:val="clear" w:color="auto" w:fill="auto"/>
          </w:tcPr>
          <w:p w14:paraId="24BA609F" w14:textId="7B7EBC12" w:rsidR="00F45873" w:rsidRPr="009D70DA" w:rsidRDefault="006827F1" w:rsidP="006827F1">
            <w:pPr>
              <w:rPr>
                <w:rFonts w:eastAsiaTheme="minorHAnsi"/>
                <w:lang w:val="en-AU"/>
              </w:rPr>
            </w:pPr>
            <w:r w:rsidRPr="009D70DA">
              <w:rPr>
                <w:rFonts w:eastAsiaTheme="minorHAnsi"/>
                <w:lang w:val="en-AU"/>
              </w:rPr>
              <w:t>v</w:t>
            </w:r>
            <w:r w:rsidR="00F45873" w:rsidRPr="009D70DA">
              <w:rPr>
                <w:rFonts w:eastAsiaTheme="minorHAnsi"/>
                <w:lang w:val="en-AU"/>
              </w:rPr>
              <w:t xml:space="preserve">an de </w:t>
            </w:r>
            <w:r w:rsidRPr="009D70DA">
              <w:rPr>
                <w:rFonts w:eastAsiaTheme="minorHAnsi"/>
                <w:lang w:val="en-AU"/>
              </w:rPr>
              <w:t>P</w:t>
            </w:r>
            <w:r w:rsidR="00F45873" w:rsidRPr="009D70DA">
              <w:rPr>
                <w:rFonts w:eastAsiaTheme="minorHAnsi"/>
                <w:lang w:val="en-AU"/>
              </w:rPr>
              <w:t>as 2014</w:t>
            </w:r>
          </w:p>
        </w:tc>
        <w:tc>
          <w:tcPr>
            <w:tcW w:w="2319" w:type="dxa"/>
            <w:shd w:val="clear" w:color="auto" w:fill="auto"/>
          </w:tcPr>
          <w:p w14:paraId="1D1968BD" w14:textId="77777777" w:rsidR="00F45873" w:rsidRPr="009D70DA" w:rsidRDefault="00F45873" w:rsidP="007C71A1">
            <w:pPr>
              <w:rPr>
                <w:color w:val="000000"/>
              </w:rPr>
            </w:pPr>
            <w:r w:rsidRPr="009D70DA">
              <w:rPr>
                <w:color w:val="000000"/>
              </w:rPr>
              <w:t xml:space="preserve">Discusses the cultural uses of the library as public space compared to a technology-centered virtual focus. </w:t>
            </w:r>
          </w:p>
        </w:tc>
        <w:tc>
          <w:tcPr>
            <w:tcW w:w="2256" w:type="dxa"/>
            <w:shd w:val="clear" w:color="auto" w:fill="auto"/>
          </w:tcPr>
          <w:p w14:paraId="72D3DE3E" w14:textId="77777777" w:rsidR="00F45873" w:rsidRPr="009D70DA" w:rsidRDefault="00F45873" w:rsidP="007C71A1">
            <w:r w:rsidRPr="009D70DA">
              <w:t>Literature review</w:t>
            </w:r>
          </w:p>
        </w:tc>
        <w:tc>
          <w:tcPr>
            <w:tcW w:w="2669" w:type="dxa"/>
            <w:shd w:val="clear" w:color="auto" w:fill="auto"/>
          </w:tcPr>
          <w:p w14:paraId="4501EA95" w14:textId="114E030E" w:rsidR="00F45873" w:rsidRPr="009D70DA" w:rsidRDefault="00F45873" w:rsidP="006827F1">
            <w:r w:rsidRPr="009D70DA">
              <w:t>By following a predominantly technological path towards the virtual library</w:t>
            </w:r>
            <w:r w:rsidR="0015085C">
              <w:t>,</w:t>
            </w:r>
            <w:r w:rsidRPr="009D70DA">
              <w:t xml:space="preserve"> the risk is that multinational commercial information aggregators will make the physical library obsolete and remove free access to information. However if libraries take the cultural path as an institution instrumental to </w:t>
            </w:r>
            <w:r w:rsidR="006827F1" w:rsidRPr="009D70DA">
              <w:t>‘</w:t>
            </w:r>
            <w:r w:rsidRPr="009D70DA">
              <w:t>the commons</w:t>
            </w:r>
            <w:r w:rsidR="006827F1" w:rsidRPr="009D70DA">
              <w:t>’</w:t>
            </w:r>
            <w:r w:rsidR="0055409A" w:rsidRPr="009D70DA">
              <w:t>,</w:t>
            </w:r>
            <w:r w:rsidRPr="009D70DA">
              <w:t xml:space="preserve"> technology will become a means to an end.  </w:t>
            </w:r>
          </w:p>
        </w:tc>
        <w:tc>
          <w:tcPr>
            <w:tcW w:w="1816" w:type="dxa"/>
            <w:shd w:val="clear" w:color="auto" w:fill="auto"/>
          </w:tcPr>
          <w:p w14:paraId="75912BEB" w14:textId="77777777" w:rsidR="00F45873" w:rsidRPr="009D70DA" w:rsidRDefault="00F45873" w:rsidP="007C71A1">
            <w:pPr>
              <w:rPr>
                <w:color w:val="000000"/>
              </w:rPr>
            </w:pPr>
            <w:r w:rsidRPr="009D70DA">
              <w:rPr>
                <w:color w:val="000000"/>
              </w:rPr>
              <w:t xml:space="preserve">Cultural </w:t>
            </w:r>
          </w:p>
        </w:tc>
        <w:tc>
          <w:tcPr>
            <w:tcW w:w="2754" w:type="dxa"/>
            <w:shd w:val="clear" w:color="auto" w:fill="auto"/>
          </w:tcPr>
          <w:p w14:paraId="346AF87F" w14:textId="6374DB69" w:rsidR="00F45873" w:rsidRPr="009D70DA" w:rsidRDefault="00F45873" w:rsidP="006827F1">
            <w:pPr>
              <w:autoSpaceDE w:val="0"/>
              <w:autoSpaceDN w:val="0"/>
              <w:adjustRightInd w:val="0"/>
              <w:rPr>
                <w:rFonts w:eastAsiaTheme="minorHAnsi"/>
                <w:lang w:val="en-AU"/>
              </w:rPr>
            </w:pPr>
            <w:r w:rsidRPr="009D70DA">
              <w:rPr>
                <w:rFonts w:eastAsiaTheme="minorHAnsi"/>
                <w:lang w:val="en-AU"/>
              </w:rPr>
              <w:t xml:space="preserve">The article offers a warning call against embracing technological determinism that may bring about closure of </w:t>
            </w:r>
            <w:r w:rsidR="006827F1" w:rsidRPr="009D70DA">
              <w:rPr>
                <w:rFonts w:eastAsiaTheme="minorHAnsi"/>
                <w:lang w:val="en-AU"/>
              </w:rPr>
              <w:t>‘</w:t>
            </w:r>
            <w:r w:rsidR="002A43DF" w:rsidRPr="009D70DA">
              <w:rPr>
                <w:rFonts w:eastAsiaTheme="minorHAnsi"/>
                <w:lang w:val="en-AU"/>
              </w:rPr>
              <w:t>the commons</w:t>
            </w:r>
            <w:r w:rsidR="006827F1" w:rsidRPr="009D70DA">
              <w:rPr>
                <w:rFonts w:eastAsiaTheme="minorHAnsi"/>
                <w:lang w:val="en-AU"/>
              </w:rPr>
              <w:t>’</w:t>
            </w:r>
            <w:r w:rsidRPr="009D70DA">
              <w:rPr>
                <w:rFonts w:eastAsiaTheme="minorHAnsi"/>
                <w:lang w:val="en-AU"/>
              </w:rPr>
              <w:t xml:space="preserve"> central to the provision of library services.</w:t>
            </w:r>
            <w:r w:rsidR="002A43DF" w:rsidRPr="009D70DA">
              <w:rPr>
                <w:rFonts w:eastAsiaTheme="minorHAnsi"/>
                <w:lang w:val="en-AU"/>
              </w:rPr>
              <w:t xml:space="preserve"> </w:t>
            </w:r>
            <w:r w:rsidRPr="009D70DA">
              <w:rPr>
                <w:rFonts w:eastAsiaTheme="minorHAnsi"/>
                <w:lang w:val="en-AU"/>
              </w:rPr>
              <w:t>The case is made that free unfettered access to information is at odds with actual developments on the Internet, as it rapidly transforms into a commercial advertising platform/market place.</w:t>
            </w:r>
          </w:p>
        </w:tc>
      </w:tr>
    </w:tbl>
    <w:p w14:paraId="6356ABB9" w14:textId="77777777" w:rsidR="008A3A8B" w:rsidRPr="005F00CB" w:rsidRDefault="008A3A8B" w:rsidP="008A3A8B"/>
    <w:p w14:paraId="47DE1E1B" w14:textId="22D9854E" w:rsidR="00037A8C" w:rsidRDefault="00037A8C">
      <w:pPr>
        <w:sectPr w:rsidR="00037A8C" w:rsidSect="00796F2A">
          <w:pgSz w:w="15840" w:h="12240" w:orient="landscape"/>
          <w:pgMar w:top="1800" w:right="1440" w:bottom="1800" w:left="1440" w:header="720" w:footer="720" w:gutter="0"/>
          <w:cols w:space="720"/>
          <w:docGrid w:linePitch="360"/>
        </w:sectPr>
      </w:pPr>
      <w:r>
        <w:br w:type="page"/>
      </w:r>
    </w:p>
    <w:p w14:paraId="0B78C373" w14:textId="6FBB9529" w:rsidR="00037A8C" w:rsidRPr="00AE1361" w:rsidRDefault="00AE1361" w:rsidP="00AE1361">
      <w:pPr>
        <w:jc w:val="right"/>
        <w:rPr>
          <w:b/>
        </w:rPr>
      </w:pPr>
      <w:r w:rsidRPr="00AE1361">
        <w:rPr>
          <w:b/>
        </w:rPr>
        <w:lastRenderedPageBreak/>
        <w:t>Appendix B</w:t>
      </w:r>
      <w:r w:rsidR="00B27274">
        <w:rPr>
          <w:b/>
        </w:rPr>
        <w:t>: Systematic Review Selection Process</w:t>
      </w:r>
    </w:p>
    <w:p w14:paraId="19554BE4" w14:textId="77777777" w:rsidR="00037A8C" w:rsidRDefault="00037A8C"/>
    <w:p w14:paraId="3F5F6FDB" w14:textId="6A7F75E3" w:rsidR="00366A57" w:rsidRPr="00C05F8B" w:rsidRDefault="00371D0D" w:rsidP="00366A57">
      <w:pPr>
        <w:ind w:firstLine="720"/>
        <w:jc w:val="both"/>
        <w:rPr>
          <w:rFonts w:ascii="Calisto MT" w:hAnsi="Calisto MT"/>
          <w:b/>
          <w:sz w:val="32"/>
          <w:szCs w:val="32"/>
        </w:rPr>
      </w:pPr>
      <w:r w:rsidRPr="00C05F8B">
        <w:rPr>
          <w:rFonts w:ascii="Calisto MT" w:hAnsi="Calisto MT"/>
          <w:noProof/>
          <w:sz w:val="32"/>
          <w:szCs w:val="32"/>
          <w:lang w:val="en-AU" w:eastAsia="en-AU"/>
        </w:rPr>
        <mc:AlternateContent>
          <mc:Choice Requires="wps">
            <w:drawing>
              <wp:anchor distT="0" distB="0" distL="114300" distR="114300" simplePos="0" relativeHeight="251661312" behindDoc="0" locked="0" layoutInCell="1" allowOverlap="1" wp14:anchorId="29CA66F5" wp14:editId="1CC065DD">
                <wp:simplePos x="0" y="0"/>
                <wp:positionH relativeFrom="column">
                  <wp:posOffset>-963453</wp:posOffset>
                </wp:positionH>
                <wp:positionV relativeFrom="paragraph">
                  <wp:posOffset>5896133</wp:posOffset>
                </wp:positionV>
                <wp:extent cx="1371600" cy="360998"/>
                <wp:effectExtent l="0" t="8890" r="10160" b="1016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60998"/>
                        </a:xfrm>
                        <a:prstGeom prst="roundRect">
                          <a:avLst>
                            <a:gd name="adj" fmla="val 16667"/>
                          </a:avLst>
                        </a:prstGeom>
                        <a:solidFill>
                          <a:srgbClr val="CCECFF"/>
                        </a:solidFill>
                        <a:ln w="9525">
                          <a:solidFill>
                            <a:srgbClr val="000000"/>
                          </a:solidFill>
                          <a:round/>
                          <a:headEnd/>
                          <a:tailEnd/>
                        </a:ln>
                      </wps:spPr>
                      <wps:txbx>
                        <w:txbxContent>
                          <w:p w14:paraId="53D703BE" w14:textId="77777777" w:rsidR="00690C78" w:rsidRPr="00366A57" w:rsidRDefault="00690C78" w:rsidP="00F94179">
                            <w:pPr>
                              <w:pStyle w:val="Heading2"/>
                              <w:rPr>
                                <w:rFonts w:ascii="Calibri" w:hAnsi="Calibri"/>
                                <w:sz w:val="28"/>
                                <w:szCs w:val="28"/>
                                <w:lang w:val="en"/>
                              </w:rPr>
                            </w:pPr>
                            <w:r w:rsidRPr="00366A57">
                              <w:rPr>
                                <w:rFonts w:ascii="Calibri" w:hAnsi="Calibri"/>
                                <w:sz w:val="28"/>
                                <w:szCs w:val="28"/>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CA66F5" id="Rounded Rectangle 3" o:spid="_x0000_s1026" style="position:absolute;left:0;text-align:left;margin-left:-75.85pt;margin-top:464.25pt;width:108pt;height:28.4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" fillcolor="#ccecff">
                <v:textbox style="layout-flow:vertical;mso-layout-flow-alt:bottom-to-top" inset="3.6pt,,3.6pt">
                  <w:txbxContent>
                    <w:p w14:paraId="53D703BE" w14:textId="77777777" w:rsidR="00690C78" w:rsidRPr="00366A57" w:rsidRDefault="00690C78" w:rsidP="00F94179">
                      <w:pPr>
                        <w:pStyle w:val="Heading2"/>
                        <w:rPr>
                          <w:rFonts w:ascii="Calibri" w:hAnsi="Calibri"/>
                          <w:sz w:val="28"/>
                          <w:szCs w:val="28"/>
                          <w:lang w:val="en"/>
                        </w:rPr>
                      </w:pPr>
                      <w:r w:rsidRPr="00366A57">
                        <w:rPr>
                          <w:rFonts w:ascii="Calibri" w:hAnsi="Calibri"/>
                          <w:sz w:val="28"/>
                          <w:szCs w:val="28"/>
                          <w:lang w:val="en"/>
                        </w:rPr>
                        <w:t>Included</w:t>
                      </w:r>
                    </w:p>
                  </w:txbxContent>
                </v:textbox>
              </v:roundrect>
            </w:pict>
          </mc:Fallback>
        </mc:AlternateContent>
      </w:r>
      <w:r w:rsidRPr="00C05F8B">
        <w:rPr>
          <w:rFonts w:ascii="Calisto MT" w:hAnsi="Calisto MT"/>
          <w:noProof/>
          <w:sz w:val="32"/>
          <w:szCs w:val="32"/>
          <w:lang w:val="en-AU" w:eastAsia="en-AU"/>
        </w:rPr>
        <mc:AlternateContent>
          <mc:Choice Requires="wps">
            <w:drawing>
              <wp:anchor distT="0" distB="0" distL="114300" distR="114300" simplePos="0" relativeHeight="251662336" behindDoc="0" locked="0" layoutInCell="1" allowOverlap="1" wp14:anchorId="6EB17B0C" wp14:editId="6D8360CA">
                <wp:simplePos x="0" y="0"/>
                <wp:positionH relativeFrom="column">
                  <wp:posOffset>-957739</wp:posOffset>
                </wp:positionH>
                <wp:positionV relativeFrom="paragraph">
                  <wp:posOffset>4290218</wp:posOffset>
                </wp:positionV>
                <wp:extent cx="1371600" cy="372427"/>
                <wp:effectExtent l="4445" t="0" r="23495" b="2349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72427"/>
                        </a:xfrm>
                        <a:prstGeom prst="roundRect">
                          <a:avLst>
                            <a:gd name="adj" fmla="val 16667"/>
                          </a:avLst>
                        </a:prstGeom>
                        <a:solidFill>
                          <a:srgbClr val="CCECFF"/>
                        </a:solidFill>
                        <a:ln w="9525">
                          <a:solidFill>
                            <a:srgbClr val="000000"/>
                          </a:solidFill>
                          <a:round/>
                          <a:headEnd/>
                          <a:tailEnd/>
                        </a:ln>
                      </wps:spPr>
                      <wps:txbx>
                        <w:txbxContent>
                          <w:p w14:paraId="2A672741" w14:textId="77777777" w:rsidR="00690C78" w:rsidRPr="00366A57" w:rsidRDefault="00690C78" w:rsidP="00F94179">
                            <w:pPr>
                              <w:pStyle w:val="Heading2"/>
                              <w:rPr>
                                <w:rFonts w:ascii="Calibri" w:hAnsi="Calibri"/>
                                <w:sz w:val="28"/>
                                <w:szCs w:val="28"/>
                                <w:lang w:val="en"/>
                              </w:rPr>
                            </w:pPr>
                            <w:r w:rsidRPr="00366A57">
                              <w:rPr>
                                <w:rFonts w:ascii="Calibri" w:hAnsi="Calibri"/>
                                <w:sz w:val="28"/>
                                <w:szCs w:val="28"/>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17B0C" id="Rounded Rectangle 4" o:spid="_x0000_s1027" style="position:absolute;left:0;text-align:left;margin-left:-75.4pt;margin-top:337.8pt;width:108pt;height:29.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" fillcolor="#ccecff">
                <v:textbox style="layout-flow:vertical;mso-layout-flow-alt:bottom-to-top" inset="3.6pt,,3.6pt">
                  <w:txbxContent>
                    <w:p w14:paraId="2A672741" w14:textId="77777777" w:rsidR="00690C78" w:rsidRPr="00366A57" w:rsidRDefault="00690C78" w:rsidP="00F94179">
                      <w:pPr>
                        <w:pStyle w:val="Heading2"/>
                        <w:rPr>
                          <w:rFonts w:ascii="Calibri" w:hAnsi="Calibri"/>
                          <w:sz w:val="28"/>
                          <w:szCs w:val="28"/>
                          <w:lang w:val="en"/>
                        </w:rPr>
                      </w:pPr>
                      <w:r w:rsidRPr="00366A57">
                        <w:rPr>
                          <w:rFonts w:ascii="Calibri" w:hAnsi="Calibri"/>
                          <w:sz w:val="28"/>
                          <w:szCs w:val="28"/>
                          <w:lang w:val="en"/>
                        </w:rPr>
                        <w:t>Eligibility</w:t>
                      </w:r>
                    </w:p>
                  </w:txbxContent>
                </v:textbox>
              </v:roundrect>
            </w:pict>
          </mc:Fallback>
        </mc:AlternateContent>
      </w:r>
      <w:r w:rsidRPr="00C05F8B">
        <w:rPr>
          <w:rFonts w:ascii="Calisto MT" w:hAnsi="Calisto MT"/>
          <w:noProof/>
          <w:sz w:val="32"/>
          <w:szCs w:val="32"/>
          <w:lang w:val="en-AU" w:eastAsia="en-AU"/>
        </w:rPr>
        <mc:AlternateContent>
          <mc:Choice Requires="wps">
            <w:drawing>
              <wp:anchor distT="0" distB="0" distL="114300" distR="114300" simplePos="0" relativeHeight="251665408" behindDoc="0" locked="0" layoutInCell="1" allowOverlap="1" wp14:anchorId="10FDABB8" wp14:editId="0E2EE9EC">
                <wp:simplePos x="0" y="0"/>
                <wp:positionH relativeFrom="column">
                  <wp:posOffset>-964723</wp:posOffset>
                </wp:positionH>
                <wp:positionV relativeFrom="paragraph">
                  <wp:posOffset>1096803</wp:posOffset>
                </wp:positionV>
                <wp:extent cx="1371600" cy="358458"/>
                <wp:effectExtent l="0" t="7620" r="11430" b="114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58458"/>
                        </a:xfrm>
                        <a:prstGeom prst="roundRect">
                          <a:avLst>
                            <a:gd name="adj" fmla="val 16667"/>
                          </a:avLst>
                        </a:prstGeom>
                        <a:solidFill>
                          <a:srgbClr val="CCECFF"/>
                        </a:solidFill>
                        <a:ln w="9525">
                          <a:solidFill>
                            <a:srgbClr val="000000"/>
                          </a:solidFill>
                          <a:round/>
                          <a:headEnd/>
                          <a:tailEnd/>
                        </a:ln>
                      </wps:spPr>
                      <wps:txbx>
                        <w:txbxContent>
                          <w:p w14:paraId="783FBAF8" w14:textId="77777777" w:rsidR="00690C78" w:rsidRPr="00366A57" w:rsidRDefault="00690C78" w:rsidP="00F94179">
                            <w:pPr>
                              <w:pStyle w:val="Heading2"/>
                              <w:rPr>
                                <w:rFonts w:ascii="Calibri" w:hAnsi="Calibri"/>
                                <w:sz w:val="28"/>
                                <w:szCs w:val="28"/>
                                <w:lang w:val="en"/>
                              </w:rPr>
                            </w:pPr>
                            <w:r w:rsidRPr="00366A57">
                              <w:rPr>
                                <w:rFonts w:ascii="Calibri" w:hAnsi="Calibri"/>
                                <w:sz w:val="28"/>
                                <w:szCs w:val="28"/>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DABB8" id="Rounded Rectangle 5" o:spid="_x0000_s1028" style="position:absolute;left:0;text-align:left;margin-left:-75.95pt;margin-top:86.35pt;width:108pt;height:28.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" fillcolor="#ccecff">
                <v:textbox style="layout-flow:vertical;mso-layout-flow-alt:bottom-to-top" inset="3.6pt,,3.6pt">
                  <w:txbxContent>
                    <w:p w14:paraId="783FBAF8" w14:textId="77777777" w:rsidR="00690C78" w:rsidRPr="00366A57" w:rsidRDefault="00690C78" w:rsidP="00F94179">
                      <w:pPr>
                        <w:pStyle w:val="Heading2"/>
                        <w:rPr>
                          <w:rFonts w:ascii="Calibri" w:hAnsi="Calibri"/>
                          <w:sz w:val="28"/>
                          <w:szCs w:val="28"/>
                          <w:lang w:val="en"/>
                        </w:rPr>
                      </w:pPr>
                      <w:r w:rsidRPr="00366A57">
                        <w:rPr>
                          <w:rFonts w:ascii="Calibri" w:hAnsi="Calibri"/>
                          <w:sz w:val="28"/>
                          <w:szCs w:val="28"/>
                          <w:lang w:val="en"/>
                        </w:rPr>
                        <w:t>Identification</w:t>
                      </w:r>
                    </w:p>
                  </w:txbxContent>
                </v:textbox>
              </v:roundrect>
            </w:pict>
          </mc:Fallback>
        </mc:AlternateContent>
      </w:r>
      <w:r w:rsidRPr="00C05F8B">
        <w:rPr>
          <w:rFonts w:ascii="Calisto MT" w:hAnsi="Calisto MT"/>
          <w:noProof/>
          <w:sz w:val="32"/>
          <w:szCs w:val="32"/>
          <w:lang w:val="en-AU" w:eastAsia="en-AU"/>
        </w:rPr>
        <mc:AlternateContent>
          <mc:Choice Requires="wps">
            <w:drawing>
              <wp:anchor distT="0" distB="0" distL="114300" distR="114300" simplePos="0" relativeHeight="251660288" behindDoc="0" locked="0" layoutInCell="1" allowOverlap="1" wp14:anchorId="54DC988C" wp14:editId="28011CF4">
                <wp:simplePos x="0" y="0"/>
                <wp:positionH relativeFrom="column">
                  <wp:posOffset>-967264</wp:posOffset>
                </wp:positionH>
                <wp:positionV relativeFrom="paragraph">
                  <wp:posOffset>2699543</wp:posOffset>
                </wp:positionV>
                <wp:extent cx="1371600" cy="353377"/>
                <wp:effectExtent l="0" t="5080" r="13970" b="1397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53377"/>
                        </a:xfrm>
                        <a:prstGeom prst="roundRect">
                          <a:avLst>
                            <a:gd name="adj" fmla="val 16667"/>
                          </a:avLst>
                        </a:prstGeom>
                        <a:solidFill>
                          <a:srgbClr val="CCECFF"/>
                        </a:solidFill>
                        <a:ln w="9525">
                          <a:solidFill>
                            <a:srgbClr val="000000"/>
                          </a:solidFill>
                          <a:round/>
                          <a:headEnd/>
                          <a:tailEnd/>
                        </a:ln>
                      </wps:spPr>
                      <wps:txbx>
                        <w:txbxContent>
                          <w:p w14:paraId="6826034F" w14:textId="77777777" w:rsidR="00690C78" w:rsidRPr="00366A57" w:rsidRDefault="00690C78" w:rsidP="00F94179">
                            <w:pPr>
                              <w:pStyle w:val="Heading2"/>
                              <w:rPr>
                                <w:rFonts w:ascii="Calibri" w:hAnsi="Calibri"/>
                                <w:sz w:val="28"/>
                                <w:szCs w:val="28"/>
                                <w:lang w:val="en"/>
                              </w:rPr>
                            </w:pPr>
                            <w:r w:rsidRPr="00366A57">
                              <w:rPr>
                                <w:rFonts w:ascii="Calibri" w:hAnsi="Calibri"/>
                                <w:sz w:val="28"/>
                                <w:szCs w:val="28"/>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DC988C" id="Rounded Rectangle 2" o:spid="_x0000_s1029" style="position:absolute;left:0;text-align:left;margin-left:-76.15pt;margin-top:212.55pt;width:108pt;height:27.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" fillcolor="#ccecff">
                <v:textbox style="layout-flow:vertical;mso-layout-flow-alt:bottom-to-top" inset="3.6pt,,3.6pt">
                  <w:txbxContent>
                    <w:p w14:paraId="6826034F" w14:textId="77777777" w:rsidR="00690C78" w:rsidRPr="00366A57" w:rsidRDefault="00690C78" w:rsidP="00F94179">
                      <w:pPr>
                        <w:pStyle w:val="Heading2"/>
                        <w:rPr>
                          <w:rFonts w:ascii="Calibri" w:hAnsi="Calibri"/>
                          <w:sz w:val="28"/>
                          <w:szCs w:val="28"/>
                          <w:lang w:val="en"/>
                        </w:rPr>
                      </w:pPr>
                      <w:r w:rsidRPr="00366A57">
                        <w:rPr>
                          <w:rFonts w:ascii="Calibri" w:hAnsi="Calibri"/>
                          <w:sz w:val="28"/>
                          <w:szCs w:val="28"/>
                          <w:lang w:val="en"/>
                        </w:rPr>
                        <w:t>Screening</w:t>
                      </w:r>
                    </w:p>
                  </w:txbxContent>
                </v:textbox>
              </v:roundrect>
            </w:pict>
          </mc:Fallback>
        </mc:AlternateContent>
      </w:r>
      <w:r w:rsidRPr="00C05F8B">
        <w:rPr>
          <w:rFonts w:ascii="Calisto MT" w:hAnsi="Calisto MT"/>
          <w:noProof/>
          <w:sz w:val="32"/>
          <w:szCs w:val="32"/>
          <w:lang w:val="en-AU" w:eastAsia="en-AU"/>
        </w:rPr>
        <mc:AlternateContent>
          <mc:Choice Requires="wps">
            <w:drawing>
              <wp:anchor distT="0" distB="0" distL="114300" distR="114300" simplePos="0" relativeHeight="251666432" behindDoc="0" locked="0" layoutInCell="1" allowOverlap="1" wp14:anchorId="28E5BFD9" wp14:editId="5DE30284">
                <wp:simplePos x="0" y="0"/>
                <wp:positionH relativeFrom="column">
                  <wp:posOffset>2914650</wp:posOffset>
                </wp:positionH>
                <wp:positionV relativeFrom="paragraph">
                  <wp:posOffset>721995</wp:posOffset>
                </wp:positionV>
                <wp:extent cx="2228850" cy="7905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90575"/>
                        </a:xfrm>
                        <a:prstGeom prst="rect">
                          <a:avLst/>
                        </a:prstGeom>
                        <a:solidFill>
                          <a:srgbClr val="FFFFFF"/>
                        </a:solidFill>
                        <a:ln w="9525">
                          <a:solidFill>
                            <a:srgbClr val="000000"/>
                          </a:solidFill>
                          <a:miter lim="800000"/>
                          <a:headEnd/>
                          <a:tailEnd/>
                        </a:ln>
                      </wps:spPr>
                      <wps:txbx>
                        <w:txbxContent>
                          <w:p w14:paraId="2B789E9F" w14:textId="79BDA5ED" w:rsidR="00690C78" w:rsidRPr="00B51920" w:rsidRDefault="00690C78" w:rsidP="00F94179">
                            <w:pPr>
                              <w:jc w:val="center"/>
                              <w:rPr>
                                <w:rFonts w:ascii="Arial Narrow" w:hAnsi="Arial Narrow"/>
                                <w:sz w:val="22"/>
                                <w:szCs w:val="22"/>
                              </w:rPr>
                            </w:pPr>
                            <w:r w:rsidRPr="00B51920">
                              <w:rPr>
                                <w:rFonts w:ascii="Arial Narrow" w:hAnsi="Arial Narrow"/>
                                <w:b/>
                                <w:sz w:val="22"/>
                                <w:szCs w:val="22"/>
                              </w:rPr>
                              <w:t>25</w:t>
                            </w:r>
                            <w:r w:rsidRPr="00B51920">
                              <w:rPr>
                                <w:rFonts w:ascii="Arial Narrow" w:hAnsi="Arial Narrow"/>
                                <w:sz w:val="22"/>
                                <w:szCs w:val="22"/>
                              </w:rPr>
                              <w:t xml:space="preserve"> papers/articles retrieved through SLWA links and hand-searching reference details </w:t>
                            </w:r>
                            <w:r w:rsidRPr="00B51920">
                              <w:rPr>
                                <w:rFonts w:ascii="Arial Narrow" w:hAnsi="Arial Narrow"/>
                                <w:sz w:val="22"/>
                                <w:szCs w:val="22"/>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5BFD9" id="Rectangle 6" o:spid="_x0000_s1030" style="position:absolute;left:0;text-align:left;margin-left:229.5pt;margin-top:56.85pt;width:175.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">
                <v:textbox inset=",7.2pt,,7.2pt">
                  <w:txbxContent>
                    <w:p w14:paraId="2B789E9F" w14:textId="79BDA5ED" w:rsidR="00690C78" w:rsidRPr="00B51920" w:rsidRDefault="00690C78" w:rsidP="00F94179">
                      <w:pPr>
                        <w:jc w:val="center"/>
                        <w:rPr>
                          <w:rFonts w:ascii="Arial Narrow" w:hAnsi="Arial Narrow"/>
                          <w:sz w:val="22"/>
                          <w:szCs w:val="22"/>
                        </w:rPr>
                      </w:pPr>
                      <w:r w:rsidRPr="00B51920">
                        <w:rPr>
                          <w:rFonts w:ascii="Arial Narrow" w:hAnsi="Arial Narrow"/>
                          <w:b/>
                          <w:sz w:val="22"/>
                          <w:szCs w:val="22"/>
                        </w:rPr>
                        <w:t>25</w:t>
                      </w:r>
                      <w:r w:rsidRPr="00B51920">
                        <w:rPr>
                          <w:rFonts w:ascii="Arial Narrow" w:hAnsi="Arial Narrow"/>
                          <w:sz w:val="22"/>
                          <w:szCs w:val="22"/>
                        </w:rPr>
                        <w:t xml:space="preserve"> papers/articles retrieved through SLWA links and hand-searching reference details </w:t>
                      </w:r>
                      <w:r w:rsidRPr="00B51920">
                        <w:rPr>
                          <w:rFonts w:ascii="Arial Narrow" w:hAnsi="Arial Narrow"/>
                          <w:sz w:val="22"/>
                          <w:szCs w:val="22"/>
                        </w:rPr>
                        <w:br/>
                      </w:r>
                    </w:p>
                  </w:txbxContent>
                </v:textbox>
              </v:rect>
            </w:pict>
          </mc:Fallback>
        </mc:AlternateContent>
      </w:r>
      <w:r w:rsidR="00F94179" w:rsidRPr="00C05F8B">
        <w:rPr>
          <w:rFonts w:ascii="Calisto MT" w:hAnsi="Calisto MT"/>
          <w:noProof/>
          <w:sz w:val="32"/>
          <w:szCs w:val="32"/>
          <w:lang w:val="en-AU" w:eastAsia="en-AU"/>
        </w:rPr>
        <mc:AlternateContent>
          <mc:Choice Requires="wps">
            <w:drawing>
              <wp:anchor distT="36576" distB="36576" distL="36576" distR="36576" simplePos="0" relativeHeight="251676672" behindDoc="0" locked="0" layoutInCell="1" allowOverlap="1" wp14:anchorId="7CE50F6F" wp14:editId="38286436">
                <wp:simplePos x="0" y="0"/>
                <wp:positionH relativeFrom="column">
                  <wp:posOffset>4476750</wp:posOffset>
                </wp:positionH>
                <wp:positionV relativeFrom="paragraph">
                  <wp:posOffset>4592955</wp:posOffset>
                </wp:positionV>
                <wp:extent cx="19050" cy="1152525"/>
                <wp:effectExtent l="57150" t="5080" r="38100" b="234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1525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1609B6" id="_x0000_t32" coordsize="21600,21600" o:spt="32" o:oned="t" path="m,l21600,21600e" filled="f">
                <v:path arrowok="t" fillok="f" o:connecttype="none"/>
                <o:lock v:ext="edit" shapetype="t"/>
              </v:shapetype>
              <v:shape id="Straight Arrow Connector 21" o:spid="_x0000_s1026" type="#_x0000_t32" style="position:absolute;margin-left:352.5pt;margin-top:361.65pt;width:1.5pt;height:90.75pt;flip:x;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">
                <v:stroke endarrow="block"/>
                <v:shadow color="#ccc"/>
              </v:shape>
            </w:pict>
          </mc:Fallback>
        </mc:AlternateContent>
      </w:r>
      <w:r w:rsidR="00F94179" w:rsidRPr="00C05F8B">
        <w:rPr>
          <w:rFonts w:ascii="Calisto MT" w:hAnsi="Calisto MT"/>
          <w:noProof/>
          <w:sz w:val="32"/>
          <w:szCs w:val="32"/>
          <w:lang w:val="en-AU" w:eastAsia="en-AU"/>
        </w:rPr>
        <mc:AlternateContent>
          <mc:Choice Requires="wps">
            <w:drawing>
              <wp:anchor distT="36576" distB="36576" distL="36576" distR="36576" simplePos="0" relativeHeight="251675648" behindDoc="0" locked="0" layoutInCell="1" allowOverlap="1" wp14:anchorId="7A8E2076" wp14:editId="346A697C">
                <wp:simplePos x="0" y="0"/>
                <wp:positionH relativeFrom="column">
                  <wp:posOffset>2733675</wp:posOffset>
                </wp:positionH>
                <wp:positionV relativeFrom="paragraph">
                  <wp:posOffset>4602480</wp:posOffset>
                </wp:positionV>
                <wp:extent cx="19050" cy="1095375"/>
                <wp:effectExtent l="57150" t="5080" r="38100" b="234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0953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1866DE" id="Straight Arrow Connector 20" o:spid="_x0000_s1026" type="#_x0000_t32" style="position:absolute;margin-left:215.25pt;margin-top:362.4pt;width:1.5pt;height:86.25pt;flip:x;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">
                <v:stroke endarrow="block"/>
                <v:shadow color="#ccc"/>
              </v:shape>
            </w:pict>
          </mc:Fallback>
        </mc:AlternateContent>
      </w:r>
      <w:r w:rsidR="00F94179" w:rsidRPr="00C05F8B">
        <w:rPr>
          <w:rFonts w:ascii="Calisto MT" w:hAnsi="Calisto MT"/>
          <w:noProof/>
          <w:sz w:val="32"/>
          <w:szCs w:val="32"/>
          <w:lang w:val="en-AU" w:eastAsia="en-AU"/>
        </w:rPr>
        <mc:AlternateContent>
          <mc:Choice Requires="wps">
            <w:drawing>
              <wp:anchor distT="0" distB="0" distL="114300" distR="114300" simplePos="0" relativeHeight="251672576" behindDoc="0" locked="0" layoutInCell="1" allowOverlap="1" wp14:anchorId="39805AE9" wp14:editId="45FF38DA">
                <wp:simplePos x="0" y="0"/>
                <wp:positionH relativeFrom="column">
                  <wp:posOffset>1838325</wp:posOffset>
                </wp:positionH>
                <wp:positionV relativeFrom="paragraph">
                  <wp:posOffset>5735955</wp:posOffset>
                </wp:positionV>
                <wp:extent cx="3295650" cy="685800"/>
                <wp:effectExtent l="9525" t="5080" r="9525"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685800"/>
                        </a:xfrm>
                        <a:prstGeom prst="rect">
                          <a:avLst/>
                        </a:prstGeom>
                        <a:solidFill>
                          <a:srgbClr val="FFFFFF"/>
                        </a:solidFill>
                        <a:ln w="9525">
                          <a:solidFill>
                            <a:srgbClr val="000000"/>
                          </a:solidFill>
                          <a:miter lim="800000"/>
                          <a:headEnd/>
                          <a:tailEnd/>
                        </a:ln>
                      </wps:spPr>
                      <wps:txbx>
                        <w:txbxContent>
                          <w:p w14:paraId="645FFDA6" w14:textId="74DC3B6A" w:rsidR="00690C78" w:rsidRPr="00B51920" w:rsidRDefault="00690C78" w:rsidP="00F94179">
                            <w:pPr>
                              <w:jc w:val="center"/>
                              <w:rPr>
                                <w:rFonts w:ascii="Arial Narrow" w:hAnsi="Arial Narrow"/>
                                <w:sz w:val="22"/>
                                <w:szCs w:val="22"/>
                              </w:rPr>
                            </w:pPr>
                            <w:r>
                              <w:rPr>
                                <w:rFonts w:ascii="Arial Narrow" w:hAnsi="Arial Narrow"/>
                                <w:b/>
                                <w:sz w:val="22"/>
                                <w:szCs w:val="22"/>
                              </w:rPr>
                              <w:t>19</w:t>
                            </w:r>
                            <w:r w:rsidRPr="00B51920">
                              <w:rPr>
                                <w:rFonts w:ascii="Arial Narrow" w:hAnsi="Arial Narrow"/>
                                <w:sz w:val="22"/>
                                <w:szCs w:val="22"/>
                              </w:rPr>
                              <w:t xml:space="preserve"> articles met the inclusion criteria</w:t>
                            </w:r>
                          </w:p>
                          <w:p w14:paraId="7C63D3EC" w14:textId="6970A569" w:rsidR="00690C78" w:rsidRPr="00B51920" w:rsidRDefault="00690C78" w:rsidP="00F94179">
                            <w:pPr>
                              <w:jc w:val="center"/>
                              <w:rPr>
                                <w:rFonts w:ascii="Arial Narrow" w:hAnsi="Arial Narrow"/>
                                <w:sz w:val="22"/>
                                <w:szCs w:val="22"/>
                                <w:lang w:val="en"/>
                              </w:rPr>
                            </w:pPr>
                            <w:r w:rsidRPr="00B51920">
                              <w:rPr>
                                <w:rFonts w:ascii="Arial Narrow" w:hAnsi="Arial Narrow"/>
                                <w:sz w:val="22"/>
                                <w:szCs w:val="22"/>
                              </w:rPr>
                              <w:t>(</w:t>
                            </w:r>
                            <w:r>
                              <w:rPr>
                                <w:rFonts w:ascii="Arial Narrow" w:hAnsi="Arial Narrow"/>
                                <w:sz w:val="22"/>
                                <w:szCs w:val="22"/>
                              </w:rPr>
                              <w:t>Quantitative</w:t>
                            </w:r>
                            <w:r w:rsidRPr="00B51920">
                              <w:rPr>
                                <w:rFonts w:ascii="Arial Narrow" w:hAnsi="Arial Narrow"/>
                                <w:sz w:val="22"/>
                                <w:szCs w:val="22"/>
                              </w:rPr>
                              <w:t xml:space="preserve"> =4; qualitative = 8; mixed methods 3; literature review = </w:t>
                            </w:r>
                            <w:r>
                              <w:rPr>
                                <w:rFonts w:ascii="Arial Narrow" w:hAnsi="Arial Narrow"/>
                                <w:sz w:val="22"/>
                                <w:szCs w:val="22"/>
                              </w:rPr>
                              <w:t>4</w:t>
                            </w:r>
                            <w:r w:rsidRPr="00B51920">
                              <w:rPr>
                                <w:rFonts w:ascii="Arial Narrow" w:hAnsi="Arial Narrow"/>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05AE9" id="Rectangle 19" o:spid="_x0000_s1031" style="position:absolute;left:0;text-align:left;margin-left:144.75pt;margin-top:451.65pt;width:259.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">
                <v:textbox inset=",7.2pt,,7.2pt">
                  <w:txbxContent>
                    <w:p w14:paraId="645FFDA6" w14:textId="74DC3B6A" w:rsidR="00690C78" w:rsidRPr="00B51920" w:rsidRDefault="00690C78" w:rsidP="00F94179">
                      <w:pPr>
                        <w:jc w:val="center"/>
                        <w:rPr>
                          <w:rFonts w:ascii="Arial Narrow" w:hAnsi="Arial Narrow"/>
                          <w:sz w:val="22"/>
                          <w:szCs w:val="22"/>
                        </w:rPr>
                      </w:pPr>
                      <w:r>
                        <w:rPr>
                          <w:rFonts w:ascii="Arial Narrow" w:hAnsi="Arial Narrow"/>
                          <w:b/>
                          <w:sz w:val="22"/>
                          <w:szCs w:val="22"/>
                        </w:rPr>
                        <w:t>19</w:t>
                      </w:r>
                      <w:r w:rsidRPr="00B51920">
                        <w:rPr>
                          <w:rFonts w:ascii="Arial Narrow" w:hAnsi="Arial Narrow"/>
                          <w:sz w:val="22"/>
                          <w:szCs w:val="22"/>
                        </w:rPr>
                        <w:t xml:space="preserve"> articles met the inclusion criteria</w:t>
                      </w:r>
                    </w:p>
                    <w:p w14:paraId="7C63D3EC" w14:textId="6970A569" w:rsidR="00690C78" w:rsidRPr="00B51920" w:rsidRDefault="00690C78" w:rsidP="00F94179">
                      <w:pPr>
                        <w:jc w:val="center"/>
                        <w:rPr>
                          <w:rFonts w:ascii="Arial Narrow" w:hAnsi="Arial Narrow"/>
                          <w:sz w:val="22"/>
                          <w:szCs w:val="22"/>
                          <w:lang w:val="en"/>
                        </w:rPr>
                      </w:pPr>
                      <w:r w:rsidRPr="00B51920">
                        <w:rPr>
                          <w:rFonts w:ascii="Arial Narrow" w:hAnsi="Arial Narrow"/>
                          <w:sz w:val="22"/>
                          <w:szCs w:val="22"/>
                        </w:rPr>
                        <w:t>(</w:t>
                      </w:r>
                      <w:r>
                        <w:rPr>
                          <w:rFonts w:ascii="Arial Narrow" w:hAnsi="Arial Narrow"/>
                          <w:sz w:val="22"/>
                          <w:szCs w:val="22"/>
                        </w:rPr>
                        <w:t>Quantitative</w:t>
                      </w:r>
                      <w:r w:rsidRPr="00B51920">
                        <w:rPr>
                          <w:rFonts w:ascii="Arial Narrow" w:hAnsi="Arial Narrow"/>
                          <w:sz w:val="22"/>
                          <w:szCs w:val="22"/>
                        </w:rPr>
                        <w:t xml:space="preserve"> =4; qualitative = 8; mixed methods 3; literature review = </w:t>
                      </w:r>
                      <w:r>
                        <w:rPr>
                          <w:rFonts w:ascii="Arial Narrow" w:hAnsi="Arial Narrow"/>
                          <w:sz w:val="22"/>
                          <w:szCs w:val="22"/>
                        </w:rPr>
                        <w:t>4</w:t>
                      </w:r>
                      <w:r w:rsidRPr="00B51920">
                        <w:rPr>
                          <w:rFonts w:ascii="Arial Narrow" w:hAnsi="Arial Narrow"/>
                          <w:sz w:val="22"/>
                          <w:szCs w:val="22"/>
                        </w:rPr>
                        <w:t>)</w:t>
                      </w:r>
                    </w:p>
                  </w:txbxContent>
                </v:textbox>
              </v:rect>
            </w:pict>
          </mc:Fallback>
        </mc:AlternateContent>
      </w:r>
      <w:r w:rsidR="00F94179" w:rsidRPr="00C05F8B">
        <w:rPr>
          <w:rFonts w:ascii="Calisto MT" w:hAnsi="Calisto MT"/>
          <w:noProof/>
          <w:sz w:val="32"/>
          <w:szCs w:val="32"/>
          <w:lang w:val="en-AU" w:eastAsia="en-AU"/>
        </w:rPr>
        <mc:AlternateContent>
          <mc:Choice Requires="wps">
            <w:drawing>
              <wp:anchor distT="0" distB="0" distL="114300" distR="114300" simplePos="0" relativeHeight="251659264" behindDoc="0" locked="0" layoutInCell="1" allowOverlap="1" wp14:anchorId="0C2C62DB" wp14:editId="5A73BD08">
                <wp:simplePos x="0" y="0"/>
                <wp:positionH relativeFrom="column">
                  <wp:posOffset>200025</wp:posOffset>
                </wp:positionH>
                <wp:positionV relativeFrom="paragraph">
                  <wp:posOffset>706755</wp:posOffset>
                </wp:positionV>
                <wp:extent cx="2371725" cy="787400"/>
                <wp:effectExtent l="9525" t="5080" r="9525"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87400"/>
                        </a:xfrm>
                        <a:prstGeom prst="rect">
                          <a:avLst/>
                        </a:prstGeom>
                        <a:solidFill>
                          <a:srgbClr val="FFFFFF"/>
                        </a:solidFill>
                        <a:ln w="9525">
                          <a:solidFill>
                            <a:srgbClr val="000000"/>
                          </a:solidFill>
                          <a:miter lim="800000"/>
                          <a:headEnd/>
                          <a:tailEnd/>
                        </a:ln>
                      </wps:spPr>
                      <wps:txbx>
                        <w:txbxContent>
                          <w:p w14:paraId="06943A0D" w14:textId="5BE7C176" w:rsidR="00690C78" w:rsidRPr="00B51920" w:rsidRDefault="00690C78" w:rsidP="00F94179">
                            <w:pPr>
                              <w:jc w:val="center"/>
                              <w:rPr>
                                <w:rFonts w:ascii="Arial Narrow" w:hAnsi="Arial Narrow" w:cs="Arial"/>
                                <w:sz w:val="22"/>
                                <w:szCs w:val="22"/>
                              </w:rPr>
                            </w:pPr>
                            <w:r w:rsidRPr="00B51920">
                              <w:rPr>
                                <w:rFonts w:ascii="Arial Narrow" w:hAnsi="Arial Narrow" w:cs="Arial"/>
                                <w:sz w:val="22"/>
                                <w:szCs w:val="22"/>
                              </w:rPr>
                              <w:t xml:space="preserve">Electronic Database Search (n = </w:t>
                            </w:r>
                            <w:r w:rsidRPr="00B51920">
                              <w:rPr>
                                <w:rFonts w:ascii="Arial Narrow" w:hAnsi="Arial Narrow" w:cs="Arial"/>
                                <w:b/>
                                <w:sz w:val="22"/>
                                <w:szCs w:val="22"/>
                              </w:rPr>
                              <w:t>261</w:t>
                            </w:r>
                            <w:proofErr w:type="gramStart"/>
                            <w:r w:rsidRPr="00B51920">
                              <w:rPr>
                                <w:rFonts w:ascii="Arial Narrow" w:hAnsi="Arial Narrow" w:cs="Arial"/>
                                <w:sz w:val="22"/>
                                <w:szCs w:val="22"/>
                              </w:rPr>
                              <w:t>)</w:t>
                            </w:r>
                            <w:proofErr w:type="gramEnd"/>
                            <w:r w:rsidRPr="00B51920">
                              <w:rPr>
                                <w:rFonts w:ascii="Arial Narrow" w:hAnsi="Arial Narrow" w:cs="Arial"/>
                                <w:sz w:val="22"/>
                                <w:szCs w:val="22"/>
                              </w:rPr>
                              <w:br/>
                              <w:t xml:space="preserve">(LISA =  99, LISTA = 73, ERIC = 35, </w:t>
                            </w:r>
                          </w:p>
                          <w:p w14:paraId="7F83AED4" w14:textId="34A36538" w:rsidR="00690C78" w:rsidRPr="00B51920" w:rsidRDefault="00690C78" w:rsidP="00F94179">
                            <w:pPr>
                              <w:jc w:val="center"/>
                              <w:rPr>
                                <w:rFonts w:ascii="Arial Narrow" w:hAnsi="Arial Narrow" w:cs="Arial"/>
                                <w:sz w:val="22"/>
                                <w:szCs w:val="22"/>
                                <w:lang w:val="en"/>
                              </w:rPr>
                            </w:pPr>
                            <w:r w:rsidRPr="00B51920">
                              <w:rPr>
                                <w:rFonts w:ascii="Arial Narrow" w:hAnsi="Arial Narrow" w:cs="Arial"/>
                                <w:sz w:val="22"/>
                                <w:szCs w:val="22"/>
                              </w:rPr>
                              <w:t>Google Scholar = 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C62DB" id="Rectangle 18" o:spid="_x0000_s1032" style="position:absolute;left:0;text-align:left;margin-left:15.75pt;margin-top:55.65pt;width:186.7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">
                <v:textbox inset=",7.2pt,,7.2pt">
                  <w:txbxContent>
                    <w:p w14:paraId="06943A0D" w14:textId="5BE7C176" w:rsidR="00690C78" w:rsidRPr="00B51920" w:rsidRDefault="00690C78" w:rsidP="00F94179">
                      <w:pPr>
                        <w:jc w:val="center"/>
                        <w:rPr>
                          <w:rFonts w:ascii="Arial Narrow" w:hAnsi="Arial Narrow" w:cs="Arial"/>
                          <w:sz w:val="22"/>
                          <w:szCs w:val="22"/>
                        </w:rPr>
                      </w:pPr>
                      <w:r w:rsidRPr="00B51920">
                        <w:rPr>
                          <w:rFonts w:ascii="Arial Narrow" w:hAnsi="Arial Narrow" w:cs="Arial"/>
                          <w:sz w:val="22"/>
                          <w:szCs w:val="22"/>
                        </w:rPr>
                        <w:t xml:space="preserve">Electronic Database Search (n = </w:t>
                      </w:r>
                      <w:r w:rsidRPr="00B51920">
                        <w:rPr>
                          <w:rFonts w:ascii="Arial Narrow" w:hAnsi="Arial Narrow" w:cs="Arial"/>
                          <w:b/>
                          <w:sz w:val="22"/>
                          <w:szCs w:val="22"/>
                        </w:rPr>
                        <w:t>261</w:t>
                      </w:r>
                      <w:proofErr w:type="gramStart"/>
                      <w:r w:rsidRPr="00B51920">
                        <w:rPr>
                          <w:rFonts w:ascii="Arial Narrow" w:hAnsi="Arial Narrow" w:cs="Arial"/>
                          <w:sz w:val="22"/>
                          <w:szCs w:val="22"/>
                        </w:rPr>
                        <w:t>)</w:t>
                      </w:r>
                      <w:proofErr w:type="gramEnd"/>
                      <w:r w:rsidRPr="00B51920">
                        <w:rPr>
                          <w:rFonts w:ascii="Arial Narrow" w:hAnsi="Arial Narrow" w:cs="Arial"/>
                          <w:sz w:val="22"/>
                          <w:szCs w:val="22"/>
                        </w:rPr>
                        <w:br/>
                        <w:t xml:space="preserve">(LISA =  99, LISTA = 73, ERIC = 35, </w:t>
                      </w:r>
                    </w:p>
                    <w:p w14:paraId="7F83AED4" w14:textId="34A36538" w:rsidR="00690C78" w:rsidRPr="00B51920" w:rsidRDefault="00690C78" w:rsidP="00F94179">
                      <w:pPr>
                        <w:jc w:val="center"/>
                        <w:rPr>
                          <w:rFonts w:ascii="Arial Narrow" w:hAnsi="Arial Narrow" w:cs="Arial"/>
                          <w:sz w:val="22"/>
                          <w:szCs w:val="22"/>
                          <w:lang w:val="en"/>
                        </w:rPr>
                      </w:pPr>
                      <w:r w:rsidRPr="00B51920">
                        <w:rPr>
                          <w:rFonts w:ascii="Arial Narrow" w:hAnsi="Arial Narrow" w:cs="Arial"/>
                          <w:sz w:val="22"/>
                          <w:szCs w:val="22"/>
                        </w:rPr>
                        <w:t>Google Scholar = 54)</w:t>
                      </w:r>
                    </w:p>
                  </w:txbxContent>
                </v:textbox>
              </v:rect>
            </w:pict>
          </mc:Fallback>
        </mc:AlternateContent>
      </w:r>
      <w:r w:rsidR="00F94179" w:rsidRPr="00C05F8B">
        <w:rPr>
          <w:rFonts w:ascii="Calisto MT" w:hAnsi="Calisto MT"/>
          <w:noProof/>
          <w:sz w:val="32"/>
          <w:szCs w:val="32"/>
          <w:lang w:val="en-AU" w:eastAsia="en-AU"/>
        </w:rPr>
        <mc:AlternateContent>
          <mc:Choice Requires="wps">
            <w:drawing>
              <wp:anchor distT="0" distB="0" distL="114300" distR="114300" simplePos="0" relativeHeight="251671552" behindDoc="0" locked="0" layoutInCell="1" allowOverlap="1" wp14:anchorId="1DD9269B" wp14:editId="1A03D2FE">
                <wp:simplePos x="0" y="0"/>
                <wp:positionH relativeFrom="column">
                  <wp:posOffset>4229100</wp:posOffset>
                </wp:positionH>
                <wp:positionV relativeFrom="paragraph">
                  <wp:posOffset>3897630</wp:posOffset>
                </wp:positionV>
                <wp:extent cx="1714500" cy="685800"/>
                <wp:effectExtent l="9525" t="5080" r="952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7E91FA9" w14:textId="006B6785" w:rsidR="00690C78" w:rsidRPr="00B51920" w:rsidRDefault="00690C78" w:rsidP="00F94179">
                            <w:pPr>
                              <w:jc w:val="center"/>
                              <w:rPr>
                                <w:rFonts w:ascii="Arial Narrow" w:hAnsi="Arial Narrow"/>
                                <w:sz w:val="22"/>
                                <w:szCs w:val="22"/>
                                <w:lang w:val="en"/>
                              </w:rPr>
                            </w:pPr>
                            <w:r>
                              <w:rPr>
                                <w:rFonts w:ascii="Arial Narrow" w:hAnsi="Arial Narrow"/>
                                <w:b/>
                                <w:sz w:val="22"/>
                                <w:szCs w:val="22"/>
                              </w:rPr>
                              <w:t>35</w:t>
                            </w:r>
                            <w:r w:rsidRPr="00B51920">
                              <w:rPr>
                                <w:rFonts w:ascii="Arial Narrow" w:hAnsi="Arial Narrow"/>
                                <w:sz w:val="22"/>
                                <w:szCs w:val="22"/>
                              </w:rPr>
                              <w:t xml:space="preserve"> full-text articles excluded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9269B" id="Rectangle 17" o:spid="_x0000_s1033" style="position:absolute;left:0;text-align:left;margin-left:333pt;margin-top:306.9pt;width:1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">
                <v:textbox inset=",7.2pt,,7.2pt">
                  <w:txbxContent>
                    <w:p w14:paraId="47E91FA9" w14:textId="006B6785" w:rsidR="00690C78" w:rsidRPr="00B51920" w:rsidRDefault="00690C78" w:rsidP="00F94179">
                      <w:pPr>
                        <w:jc w:val="center"/>
                        <w:rPr>
                          <w:rFonts w:ascii="Arial Narrow" w:hAnsi="Arial Narrow"/>
                          <w:sz w:val="22"/>
                          <w:szCs w:val="22"/>
                          <w:lang w:val="en"/>
                        </w:rPr>
                      </w:pPr>
                      <w:r>
                        <w:rPr>
                          <w:rFonts w:ascii="Arial Narrow" w:hAnsi="Arial Narrow"/>
                          <w:b/>
                          <w:sz w:val="22"/>
                          <w:szCs w:val="22"/>
                        </w:rPr>
                        <w:t>35</w:t>
                      </w:r>
                      <w:r w:rsidRPr="00B51920">
                        <w:rPr>
                          <w:rFonts w:ascii="Arial Narrow" w:hAnsi="Arial Narrow"/>
                          <w:sz w:val="22"/>
                          <w:szCs w:val="22"/>
                        </w:rPr>
                        <w:t xml:space="preserve"> full-text articles excluded </w:t>
                      </w:r>
                    </w:p>
                  </w:txbxContent>
                </v:textbox>
              </v:rect>
            </w:pict>
          </mc:Fallback>
        </mc:AlternateContent>
      </w:r>
      <w:r w:rsidR="00F94179" w:rsidRPr="00C05F8B">
        <w:rPr>
          <w:rFonts w:ascii="Calisto MT" w:hAnsi="Calisto MT"/>
          <w:noProof/>
          <w:sz w:val="32"/>
          <w:szCs w:val="32"/>
          <w:lang w:val="en-AU" w:eastAsia="en-AU"/>
        </w:rPr>
        <mc:AlternateContent>
          <mc:Choice Requires="wps">
            <w:drawing>
              <wp:anchor distT="36576" distB="36576" distL="36576" distR="36576" simplePos="0" relativeHeight="251678720" behindDoc="0" locked="0" layoutInCell="1" allowOverlap="1" wp14:anchorId="2EAAC0E1" wp14:editId="1ECCCBC5">
                <wp:simplePos x="0" y="0"/>
                <wp:positionH relativeFrom="column">
                  <wp:posOffset>3600450</wp:posOffset>
                </wp:positionH>
                <wp:positionV relativeFrom="paragraph">
                  <wp:posOffset>4240530</wp:posOffset>
                </wp:positionV>
                <wp:extent cx="628650" cy="0"/>
                <wp:effectExtent l="9525" t="52705" r="19050" b="615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698235" id="Straight Arrow Connector 16" o:spid="_x0000_s1026" type="#_x0000_t32" style="position:absolute;margin-left:283.5pt;margin-top:333.9pt;width:49.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">
                <v:stroke endarrow="block"/>
                <v:shadow color="#ccc"/>
              </v:shape>
            </w:pict>
          </mc:Fallback>
        </mc:AlternateContent>
      </w:r>
      <w:r w:rsidR="00F94179" w:rsidRPr="00C05F8B">
        <w:rPr>
          <w:rFonts w:ascii="Calisto MT" w:hAnsi="Calisto MT"/>
          <w:noProof/>
          <w:sz w:val="32"/>
          <w:szCs w:val="32"/>
          <w:lang w:val="en-AU" w:eastAsia="en-AU"/>
        </w:rPr>
        <mc:AlternateContent>
          <mc:Choice Requires="wps">
            <w:drawing>
              <wp:anchor distT="0" distB="0" distL="114300" distR="114300" simplePos="0" relativeHeight="251670528" behindDoc="0" locked="0" layoutInCell="1" allowOverlap="1" wp14:anchorId="67B656E5" wp14:editId="43C05A7D">
                <wp:simplePos x="0" y="0"/>
                <wp:positionH relativeFrom="column">
                  <wp:posOffset>1885950</wp:posOffset>
                </wp:positionH>
                <wp:positionV relativeFrom="paragraph">
                  <wp:posOffset>3897630</wp:posOffset>
                </wp:positionV>
                <wp:extent cx="1714500" cy="685800"/>
                <wp:effectExtent l="9525" t="5080" r="952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39A55F8" w14:textId="47C4BB66" w:rsidR="00690C78" w:rsidRPr="00B51920" w:rsidRDefault="00690C78" w:rsidP="00F94179">
                            <w:pPr>
                              <w:jc w:val="center"/>
                              <w:rPr>
                                <w:rFonts w:ascii="Arial Narrow" w:hAnsi="Arial Narrow"/>
                                <w:sz w:val="22"/>
                                <w:szCs w:val="22"/>
                                <w:lang w:val="en"/>
                              </w:rPr>
                            </w:pPr>
                            <w:r w:rsidRPr="00B51920">
                              <w:rPr>
                                <w:rFonts w:ascii="Arial Narrow" w:hAnsi="Arial Narrow"/>
                                <w:b/>
                                <w:sz w:val="22"/>
                                <w:szCs w:val="22"/>
                              </w:rPr>
                              <w:t>54</w:t>
                            </w:r>
                            <w:r w:rsidRPr="00B51920">
                              <w:rPr>
                                <w:rFonts w:ascii="Arial Narrow" w:hAnsi="Arial Narrow"/>
                                <w:sz w:val="22"/>
                                <w:szCs w:val="22"/>
                              </w:rPr>
                              <w:t xml:space="preserve"> full-text articles assessed for eligibility</w:t>
                            </w:r>
                            <w:r w:rsidRPr="00B51920">
                              <w:rPr>
                                <w:rFonts w:ascii="Arial Narrow" w:hAnsi="Arial Narrow"/>
                                <w:sz w:val="22"/>
                                <w:szCs w:val="22"/>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656E5" id="Rectangle 15" o:spid="_x0000_s1034" style="position:absolute;left:0;text-align:left;margin-left:148.5pt;margin-top:306.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">
                <v:textbox inset=",7.2pt,,7.2pt">
                  <w:txbxContent>
                    <w:p w14:paraId="539A55F8" w14:textId="47C4BB66" w:rsidR="00690C78" w:rsidRPr="00B51920" w:rsidRDefault="00690C78" w:rsidP="00F94179">
                      <w:pPr>
                        <w:jc w:val="center"/>
                        <w:rPr>
                          <w:rFonts w:ascii="Arial Narrow" w:hAnsi="Arial Narrow"/>
                          <w:sz w:val="22"/>
                          <w:szCs w:val="22"/>
                          <w:lang w:val="en"/>
                        </w:rPr>
                      </w:pPr>
                      <w:r w:rsidRPr="00B51920">
                        <w:rPr>
                          <w:rFonts w:ascii="Arial Narrow" w:hAnsi="Arial Narrow"/>
                          <w:b/>
                          <w:sz w:val="22"/>
                          <w:szCs w:val="22"/>
                        </w:rPr>
                        <w:t>54</w:t>
                      </w:r>
                      <w:r w:rsidRPr="00B51920">
                        <w:rPr>
                          <w:rFonts w:ascii="Arial Narrow" w:hAnsi="Arial Narrow"/>
                          <w:sz w:val="22"/>
                          <w:szCs w:val="22"/>
                        </w:rPr>
                        <w:t xml:space="preserve"> full-text articles assessed for eligibility</w:t>
                      </w:r>
                      <w:r w:rsidRPr="00B51920">
                        <w:rPr>
                          <w:rFonts w:ascii="Arial Narrow" w:hAnsi="Arial Narrow"/>
                          <w:sz w:val="22"/>
                          <w:szCs w:val="22"/>
                        </w:rPr>
                        <w:br/>
                      </w:r>
                    </w:p>
                  </w:txbxContent>
                </v:textbox>
              </v:rect>
            </w:pict>
          </mc:Fallback>
        </mc:AlternateContent>
      </w:r>
      <w:r w:rsidR="00F94179" w:rsidRPr="00C05F8B">
        <w:rPr>
          <w:rFonts w:ascii="Calisto MT" w:hAnsi="Calisto MT"/>
          <w:noProof/>
          <w:sz w:val="32"/>
          <w:szCs w:val="32"/>
          <w:lang w:val="en-AU" w:eastAsia="en-AU"/>
        </w:rPr>
        <mc:AlternateContent>
          <mc:Choice Requires="wps">
            <w:drawing>
              <wp:anchor distT="36576" distB="36576" distL="36576" distR="36576" simplePos="0" relativeHeight="251677696" behindDoc="0" locked="0" layoutInCell="1" allowOverlap="1" wp14:anchorId="59308341" wp14:editId="00340933">
                <wp:simplePos x="0" y="0"/>
                <wp:positionH relativeFrom="column">
                  <wp:posOffset>3578225</wp:posOffset>
                </wp:positionH>
                <wp:positionV relativeFrom="paragraph">
                  <wp:posOffset>3268980</wp:posOffset>
                </wp:positionV>
                <wp:extent cx="650875" cy="0"/>
                <wp:effectExtent l="6350" t="52705" r="19050" b="615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8E471D" id="Straight Arrow Connector 14" o:spid="_x0000_s1026" type="#_x0000_t32" style="position:absolute;margin-left:281.75pt;margin-top:257.4pt;width:51.2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jI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">
                <v:stroke endarrow="block"/>
                <v:shadow color="#ccc"/>
              </v:shape>
            </w:pict>
          </mc:Fallback>
        </mc:AlternateContent>
      </w:r>
      <w:r w:rsidR="00F94179" w:rsidRPr="00C05F8B">
        <w:rPr>
          <w:rFonts w:ascii="Calisto MT" w:hAnsi="Calisto MT"/>
          <w:noProof/>
          <w:sz w:val="32"/>
          <w:szCs w:val="32"/>
          <w:lang w:val="en-AU" w:eastAsia="en-AU"/>
        </w:rPr>
        <mc:AlternateContent>
          <mc:Choice Requires="wps">
            <w:drawing>
              <wp:anchor distT="0" distB="0" distL="114300" distR="114300" simplePos="0" relativeHeight="251669504" behindDoc="0" locked="0" layoutInCell="1" allowOverlap="1" wp14:anchorId="35283C51" wp14:editId="3A0FFE11">
                <wp:simplePos x="0" y="0"/>
                <wp:positionH relativeFrom="column">
                  <wp:posOffset>4229100</wp:posOffset>
                </wp:positionH>
                <wp:positionV relativeFrom="paragraph">
                  <wp:posOffset>2983230</wp:posOffset>
                </wp:positionV>
                <wp:extent cx="1714500" cy="571500"/>
                <wp:effectExtent l="9525" t="5080" r="952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6CA3C97D" w14:textId="00C0CA79" w:rsidR="00690C78" w:rsidRPr="00B51920" w:rsidRDefault="00690C78" w:rsidP="00F94179">
                            <w:pPr>
                              <w:jc w:val="center"/>
                              <w:rPr>
                                <w:rFonts w:ascii="Arial Narrow" w:hAnsi="Arial Narrow"/>
                                <w:sz w:val="22"/>
                                <w:szCs w:val="22"/>
                                <w:lang w:val="en"/>
                              </w:rPr>
                            </w:pPr>
                            <w:r w:rsidRPr="00B51920">
                              <w:rPr>
                                <w:rFonts w:ascii="Arial Narrow" w:hAnsi="Arial Narrow"/>
                                <w:b/>
                                <w:sz w:val="22"/>
                                <w:szCs w:val="22"/>
                              </w:rPr>
                              <w:t>188</w:t>
                            </w:r>
                            <w:r w:rsidRPr="00B51920">
                              <w:rPr>
                                <w:rFonts w:ascii="Arial Narrow" w:hAnsi="Arial Narrow"/>
                                <w:sz w:val="22"/>
                                <w:szCs w:val="22"/>
                              </w:rPr>
                              <w:t xml:space="preserve"> papers excluded as not relevant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83C51" id="Rectangle 13" o:spid="_x0000_s1035" style="position:absolute;left:0;text-align:left;margin-left:333pt;margin-top:234.9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">
                <v:textbox inset=",7.2pt,,7.2pt">
                  <w:txbxContent>
                    <w:p w14:paraId="6CA3C97D" w14:textId="00C0CA79" w:rsidR="00690C78" w:rsidRPr="00B51920" w:rsidRDefault="00690C78" w:rsidP="00F94179">
                      <w:pPr>
                        <w:jc w:val="center"/>
                        <w:rPr>
                          <w:rFonts w:ascii="Arial Narrow" w:hAnsi="Arial Narrow"/>
                          <w:sz w:val="22"/>
                          <w:szCs w:val="22"/>
                          <w:lang w:val="en"/>
                        </w:rPr>
                      </w:pPr>
                      <w:r w:rsidRPr="00B51920">
                        <w:rPr>
                          <w:rFonts w:ascii="Arial Narrow" w:hAnsi="Arial Narrow"/>
                          <w:b/>
                          <w:sz w:val="22"/>
                          <w:szCs w:val="22"/>
                        </w:rPr>
                        <w:t>188</w:t>
                      </w:r>
                      <w:r w:rsidRPr="00B51920">
                        <w:rPr>
                          <w:rFonts w:ascii="Arial Narrow" w:hAnsi="Arial Narrow"/>
                          <w:sz w:val="22"/>
                          <w:szCs w:val="22"/>
                        </w:rPr>
                        <w:t xml:space="preserve"> papers excluded as not relevant</w:t>
                      </w:r>
                    </w:p>
                  </w:txbxContent>
                </v:textbox>
              </v:rect>
            </w:pict>
          </mc:Fallback>
        </mc:AlternateContent>
      </w:r>
      <w:r w:rsidR="00F94179" w:rsidRPr="00C05F8B">
        <w:rPr>
          <w:rFonts w:ascii="Calisto MT" w:hAnsi="Calisto MT"/>
          <w:noProof/>
          <w:sz w:val="32"/>
          <w:szCs w:val="32"/>
          <w:lang w:val="en-AU" w:eastAsia="en-AU"/>
        </w:rPr>
        <mc:AlternateContent>
          <mc:Choice Requires="wps">
            <w:drawing>
              <wp:anchor distT="0" distB="0" distL="114300" distR="114300" simplePos="0" relativeHeight="251668480" behindDoc="0" locked="0" layoutInCell="1" allowOverlap="1" wp14:anchorId="639EB1E3" wp14:editId="71B5C05E">
                <wp:simplePos x="0" y="0"/>
                <wp:positionH relativeFrom="column">
                  <wp:posOffset>1908175</wp:posOffset>
                </wp:positionH>
                <wp:positionV relativeFrom="paragraph">
                  <wp:posOffset>2983230</wp:posOffset>
                </wp:positionV>
                <wp:extent cx="1670050" cy="571500"/>
                <wp:effectExtent l="12700" t="5080" r="1270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582672E8" w14:textId="042E7DC8" w:rsidR="00690C78" w:rsidRPr="00B51920" w:rsidRDefault="00690C78" w:rsidP="00F94179">
                            <w:pPr>
                              <w:jc w:val="center"/>
                              <w:rPr>
                                <w:rFonts w:ascii="Arial Narrow" w:hAnsi="Arial Narrow"/>
                                <w:sz w:val="22"/>
                                <w:szCs w:val="22"/>
                                <w:lang w:val="en"/>
                              </w:rPr>
                            </w:pPr>
                            <w:r w:rsidRPr="00B51920">
                              <w:rPr>
                                <w:rFonts w:ascii="Arial Narrow" w:hAnsi="Arial Narrow"/>
                                <w:b/>
                                <w:sz w:val="22"/>
                                <w:szCs w:val="22"/>
                              </w:rPr>
                              <w:t>242</w:t>
                            </w:r>
                            <w:r w:rsidRPr="00B51920">
                              <w:rPr>
                                <w:rFonts w:ascii="Arial Narrow" w:hAnsi="Arial Narrow"/>
                                <w:sz w:val="22"/>
                                <w:szCs w:val="22"/>
                              </w:rPr>
                              <w:t xml:space="preserve"> paper</w:t>
                            </w:r>
                            <w:r>
                              <w:rPr>
                                <w:rFonts w:ascii="Arial Narrow" w:hAnsi="Arial Narrow"/>
                                <w:sz w:val="22"/>
                                <w:szCs w:val="22"/>
                              </w:rPr>
                              <w:t>s</w:t>
                            </w:r>
                            <w:r w:rsidRPr="00B51920">
                              <w:rPr>
                                <w:rFonts w:ascii="Arial Narrow" w:hAnsi="Arial Narrow"/>
                                <w:sz w:val="22"/>
                                <w:szCs w:val="22"/>
                              </w:rPr>
                              <w:t xml:space="preserve"> screened (title + abstract)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EB1E3" id="Rectangle 12" o:spid="_x0000_s1036" style="position:absolute;left:0;text-align:left;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">
                <v:textbox inset=",7.2pt,,7.2pt">
                  <w:txbxContent>
                    <w:p w14:paraId="582672E8" w14:textId="042E7DC8" w:rsidR="00690C78" w:rsidRPr="00B51920" w:rsidRDefault="00690C78" w:rsidP="00F94179">
                      <w:pPr>
                        <w:jc w:val="center"/>
                        <w:rPr>
                          <w:rFonts w:ascii="Arial Narrow" w:hAnsi="Arial Narrow"/>
                          <w:sz w:val="22"/>
                          <w:szCs w:val="22"/>
                          <w:lang w:val="en"/>
                        </w:rPr>
                      </w:pPr>
                      <w:r w:rsidRPr="00B51920">
                        <w:rPr>
                          <w:rFonts w:ascii="Arial Narrow" w:hAnsi="Arial Narrow"/>
                          <w:b/>
                          <w:sz w:val="22"/>
                          <w:szCs w:val="22"/>
                        </w:rPr>
                        <w:t>242</w:t>
                      </w:r>
                      <w:r w:rsidRPr="00B51920">
                        <w:rPr>
                          <w:rFonts w:ascii="Arial Narrow" w:hAnsi="Arial Narrow"/>
                          <w:sz w:val="22"/>
                          <w:szCs w:val="22"/>
                        </w:rPr>
                        <w:t xml:space="preserve"> paper</w:t>
                      </w:r>
                      <w:r>
                        <w:rPr>
                          <w:rFonts w:ascii="Arial Narrow" w:hAnsi="Arial Narrow"/>
                          <w:sz w:val="22"/>
                          <w:szCs w:val="22"/>
                        </w:rPr>
                        <w:t>s</w:t>
                      </w:r>
                      <w:r w:rsidRPr="00B51920">
                        <w:rPr>
                          <w:rFonts w:ascii="Arial Narrow" w:hAnsi="Arial Narrow"/>
                          <w:sz w:val="22"/>
                          <w:szCs w:val="22"/>
                        </w:rPr>
                        <w:t xml:space="preserve"> screened (title + abstract)</w:t>
                      </w:r>
                    </w:p>
                  </w:txbxContent>
                </v:textbox>
              </v:rect>
            </w:pict>
          </mc:Fallback>
        </mc:AlternateContent>
      </w:r>
      <w:r w:rsidR="00F94179" w:rsidRPr="00C05F8B">
        <w:rPr>
          <w:rFonts w:ascii="Calisto MT" w:hAnsi="Calisto MT"/>
          <w:noProof/>
          <w:sz w:val="32"/>
          <w:szCs w:val="32"/>
          <w:lang w:val="en-AU" w:eastAsia="en-AU"/>
        </w:rPr>
        <mc:AlternateContent>
          <mc:Choice Requires="wps">
            <w:drawing>
              <wp:anchor distT="36576" distB="36576" distL="36576" distR="36576" simplePos="0" relativeHeight="251674624" behindDoc="0" locked="0" layoutInCell="1" allowOverlap="1" wp14:anchorId="5A1B2FB9" wp14:editId="462ED06A">
                <wp:simplePos x="0" y="0"/>
                <wp:positionH relativeFrom="column">
                  <wp:posOffset>2743200</wp:posOffset>
                </wp:positionH>
                <wp:positionV relativeFrom="paragraph">
                  <wp:posOffset>3554730</wp:posOffset>
                </wp:positionV>
                <wp:extent cx="0" cy="342900"/>
                <wp:effectExtent l="57150" t="5080" r="57150" b="234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E1C91C" id="Straight Arrow Connector 11" o:spid="_x0000_s1026" type="#_x0000_t32" style="position:absolute;margin-left:3in;margin-top:279.9pt;width:0;height:2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">
                <v:stroke endarrow="block"/>
                <v:shadow color="#ccc"/>
              </v:shape>
            </w:pict>
          </mc:Fallback>
        </mc:AlternateContent>
      </w:r>
      <w:r w:rsidR="00F94179" w:rsidRPr="00C05F8B">
        <w:rPr>
          <w:rFonts w:ascii="Calisto MT" w:hAnsi="Calisto MT"/>
          <w:noProof/>
          <w:sz w:val="32"/>
          <w:szCs w:val="32"/>
          <w:lang w:val="en-AU" w:eastAsia="en-AU"/>
        </w:rPr>
        <mc:AlternateContent>
          <mc:Choice Requires="wps">
            <w:drawing>
              <wp:anchor distT="36576" distB="36576" distL="36576" distR="36576" simplePos="0" relativeHeight="251673600" behindDoc="0" locked="0" layoutInCell="1" allowOverlap="1" wp14:anchorId="6002B960" wp14:editId="5CD5A2BC">
                <wp:simplePos x="0" y="0"/>
                <wp:positionH relativeFrom="column">
                  <wp:posOffset>2743200</wp:posOffset>
                </wp:positionH>
                <wp:positionV relativeFrom="paragraph">
                  <wp:posOffset>2526030</wp:posOffset>
                </wp:positionV>
                <wp:extent cx="0" cy="457200"/>
                <wp:effectExtent l="57150" t="5080" r="57150" b="234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991C159" id="_x0000_t32" coordsize="21600,21600" o:spt="32" o:oned="t" path="m,l21600,21600e" filled="f">
                <v:path arrowok="t" fillok="f" o:connecttype="none"/>
                <o:lock v:ext="edit" shapetype="t"/>
              </v:shapetype>
              <v:shape id="Straight Arrow Connector 10" o:spid="_x0000_s1026" type="#_x0000_t32" style="position:absolute;margin-left:3in;margin-top:198.9pt;width:0;height:3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E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">
                <v:stroke endarrow="block"/>
                <v:shadow color="#ccc"/>
              </v:shape>
            </w:pict>
          </mc:Fallback>
        </mc:AlternateContent>
      </w:r>
      <w:r w:rsidRPr="00C05F8B">
        <w:rPr>
          <w:rFonts w:ascii="Calisto MT" w:hAnsi="Calisto MT"/>
          <w:noProof/>
          <w:sz w:val="32"/>
          <w:szCs w:val="32"/>
          <w:lang w:val="en-AU" w:eastAsia="en-AU"/>
        </w:rPr>
        <mc:AlternateContent>
          <mc:Choice Requires="wps">
            <w:drawing>
              <wp:anchor distT="36576" distB="36576" distL="36576" distR="36576" simplePos="0" relativeHeight="251664384" behindDoc="0" locked="0" layoutInCell="1" allowOverlap="1" wp14:anchorId="638E8AAA" wp14:editId="0A0E39E3">
                <wp:simplePos x="0" y="0"/>
                <wp:positionH relativeFrom="column">
                  <wp:posOffset>3886200</wp:posOffset>
                </wp:positionH>
                <wp:positionV relativeFrom="paragraph">
                  <wp:posOffset>1497330</wp:posOffset>
                </wp:positionV>
                <wp:extent cx="0" cy="457200"/>
                <wp:effectExtent l="57150" t="5080" r="57150" b="234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A68BFF" id="Straight Arrow Connector 9"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K/qwIAAKQ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">
                <v:stroke endarrow="block"/>
                <v:shadow color="#ccc"/>
              </v:shape>
            </w:pict>
          </mc:Fallback>
        </mc:AlternateContent>
      </w:r>
      <w:r w:rsidR="00F94179" w:rsidRPr="00C05F8B">
        <w:rPr>
          <w:rFonts w:ascii="Calisto MT" w:hAnsi="Calisto MT"/>
          <w:noProof/>
          <w:sz w:val="32"/>
          <w:szCs w:val="32"/>
          <w:lang w:val="en-AU" w:eastAsia="en-AU"/>
        </w:rPr>
        <mc:AlternateContent>
          <mc:Choice Requires="wps">
            <w:drawing>
              <wp:anchor distT="36576" distB="36576" distL="36576" distR="36576" simplePos="0" relativeHeight="251663360" behindDoc="0" locked="0" layoutInCell="1" allowOverlap="1" wp14:anchorId="6E6A8016" wp14:editId="3243FC9A">
                <wp:simplePos x="0" y="0"/>
                <wp:positionH relativeFrom="column">
                  <wp:posOffset>1600200</wp:posOffset>
                </wp:positionH>
                <wp:positionV relativeFrom="paragraph">
                  <wp:posOffset>1497330</wp:posOffset>
                </wp:positionV>
                <wp:extent cx="0" cy="457200"/>
                <wp:effectExtent l="57150" t="5080" r="57150" b="234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3BD901" id="Straight Arrow Connector 8"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odqwIAAKQ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">
                <v:stroke endarrow="block"/>
                <v:shadow color="#ccc"/>
              </v:shape>
            </w:pict>
          </mc:Fallback>
        </mc:AlternateContent>
      </w:r>
      <w:r w:rsidR="00F94179" w:rsidRPr="00C05F8B">
        <w:rPr>
          <w:rFonts w:ascii="Calisto MT" w:hAnsi="Calisto MT"/>
          <w:noProof/>
          <w:sz w:val="32"/>
          <w:szCs w:val="32"/>
          <w:lang w:val="en-AU" w:eastAsia="en-AU"/>
        </w:rPr>
        <mc:AlternateContent>
          <mc:Choice Requires="wps">
            <w:drawing>
              <wp:anchor distT="0" distB="0" distL="114300" distR="114300" simplePos="0" relativeHeight="251667456" behindDoc="0" locked="0" layoutInCell="1" allowOverlap="1" wp14:anchorId="06C0AE27" wp14:editId="67CAEDF1">
                <wp:simplePos x="0" y="0"/>
                <wp:positionH relativeFrom="column">
                  <wp:posOffset>1356995</wp:posOffset>
                </wp:positionH>
                <wp:positionV relativeFrom="paragraph">
                  <wp:posOffset>1954530</wp:posOffset>
                </wp:positionV>
                <wp:extent cx="2771775" cy="571500"/>
                <wp:effectExtent l="13970" t="5080" r="508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41DDB7FB" w14:textId="77777777" w:rsidR="00690C78" w:rsidRDefault="00690C78" w:rsidP="00F94179">
                            <w:pPr>
                              <w:jc w:val="center"/>
                              <w:rPr>
                                <w:rFonts w:ascii="Calibri" w:hAnsi="Calibri"/>
                                <w:sz w:val="22"/>
                                <w:szCs w:val="22"/>
                              </w:rPr>
                            </w:pPr>
                          </w:p>
                          <w:p w14:paraId="326AC799" w14:textId="22EB8F1B" w:rsidR="00690C78" w:rsidRPr="00B51920" w:rsidRDefault="00690C78" w:rsidP="00F94179">
                            <w:pPr>
                              <w:jc w:val="center"/>
                              <w:rPr>
                                <w:rFonts w:ascii="Arial Narrow" w:hAnsi="Arial Narrow"/>
                                <w:sz w:val="22"/>
                                <w:szCs w:val="22"/>
                                <w:lang w:val="en"/>
                              </w:rPr>
                            </w:pPr>
                            <w:r w:rsidRPr="00B51920">
                              <w:rPr>
                                <w:rFonts w:ascii="Arial Narrow" w:hAnsi="Arial Narrow"/>
                                <w:b/>
                                <w:sz w:val="22"/>
                                <w:szCs w:val="22"/>
                              </w:rPr>
                              <w:t xml:space="preserve">44 </w:t>
                            </w:r>
                            <w:r w:rsidRPr="00B51920">
                              <w:rPr>
                                <w:rFonts w:ascii="Arial Narrow" w:hAnsi="Arial Narrow"/>
                                <w:sz w:val="22"/>
                                <w:szCs w:val="22"/>
                              </w:rPr>
                              <w:t>duplicates removed</w:t>
                            </w:r>
                            <w:r w:rsidRPr="00B51920">
                              <w:rPr>
                                <w:rFonts w:ascii="Arial Narrow" w:hAnsi="Arial Narrow"/>
                                <w:sz w:val="22"/>
                                <w:szCs w:val="22"/>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0AE27" id="Rectangle 7" o:spid="_x0000_s1037" style="position:absolute;left:0;text-align:left;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">
                <v:textbox inset=",7.2pt,,7.2pt">
                  <w:txbxContent>
                    <w:p w14:paraId="41DDB7FB" w14:textId="77777777" w:rsidR="00690C78" w:rsidRDefault="00690C78" w:rsidP="00F94179">
                      <w:pPr>
                        <w:jc w:val="center"/>
                        <w:rPr>
                          <w:rFonts w:ascii="Calibri" w:hAnsi="Calibri"/>
                          <w:sz w:val="22"/>
                          <w:szCs w:val="22"/>
                        </w:rPr>
                      </w:pPr>
                    </w:p>
                    <w:p w14:paraId="326AC799" w14:textId="22EB8F1B" w:rsidR="00690C78" w:rsidRPr="00B51920" w:rsidRDefault="00690C78" w:rsidP="00F94179">
                      <w:pPr>
                        <w:jc w:val="center"/>
                        <w:rPr>
                          <w:rFonts w:ascii="Arial Narrow" w:hAnsi="Arial Narrow"/>
                          <w:sz w:val="22"/>
                          <w:szCs w:val="22"/>
                          <w:lang w:val="en"/>
                        </w:rPr>
                      </w:pPr>
                      <w:r w:rsidRPr="00B51920">
                        <w:rPr>
                          <w:rFonts w:ascii="Arial Narrow" w:hAnsi="Arial Narrow"/>
                          <w:b/>
                          <w:sz w:val="22"/>
                          <w:szCs w:val="22"/>
                        </w:rPr>
                        <w:t xml:space="preserve">44 </w:t>
                      </w:r>
                      <w:r w:rsidRPr="00B51920">
                        <w:rPr>
                          <w:rFonts w:ascii="Arial Narrow" w:hAnsi="Arial Narrow"/>
                          <w:sz w:val="22"/>
                          <w:szCs w:val="22"/>
                        </w:rPr>
                        <w:t>duplicates removed</w:t>
                      </w:r>
                      <w:r w:rsidRPr="00B51920">
                        <w:rPr>
                          <w:rFonts w:ascii="Arial Narrow" w:hAnsi="Arial Narrow"/>
                          <w:sz w:val="22"/>
                          <w:szCs w:val="22"/>
                        </w:rPr>
                        <w:br/>
                      </w:r>
                    </w:p>
                  </w:txbxContent>
                </v:textbox>
              </v:rect>
            </w:pict>
          </mc:Fallback>
        </mc:AlternateContent>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p>
    <w:p w14:paraId="114244B0" w14:textId="4E25149B" w:rsidR="00360D94" w:rsidRPr="00CB50AC" w:rsidRDefault="0015085C" w:rsidP="00366A57">
      <w:pPr>
        <w:rPr>
          <w:b/>
          <w:color w:val="000000"/>
        </w:rPr>
      </w:pPr>
      <w:r w:rsidRPr="00366A57">
        <w:rPr>
          <w:b/>
          <w:noProof/>
          <w:color w:val="000000"/>
          <w:lang w:val="en-AU" w:eastAsia="en-AU"/>
        </w:rPr>
        <mc:AlternateContent>
          <mc:Choice Requires="wps">
            <w:drawing>
              <wp:anchor distT="45720" distB="45720" distL="114300" distR="114300" simplePos="0" relativeHeight="251680768" behindDoc="0" locked="0" layoutInCell="1" allowOverlap="1" wp14:anchorId="527FDA54" wp14:editId="174E19B6">
                <wp:simplePos x="0" y="0"/>
                <wp:positionH relativeFrom="column">
                  <wp:posOffset>-384175</wp:posOffset>
                </wp:positionH>
                <wp:positionV relativeFrom="paragraph">
                  <wp:posOffset>692785</wp:posOffset>
                </wp:positionV>
                <wp:extent cx="632904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404620"/>
                        </a:xfrm>
                        <a:prstGeom prst="rect">
                          <a:avLst/>
                        </a:prstGeom>
                        <a:solidFill>
                          <a:srgbClr val="FFFFFF"/>
                        </a:solidFill>
                        <a:ln w="9525">
                          <a:noFill/>
                          <a:miter lim="800000"/>
                          <a:headEnd/>
                          <a:tailEnd/>
                        </a:ln>
                      </wps:spPr>
                      <wps:txbx>
                        <w:txbxContent>
                          <w:p w14:paraId="43FE529C" w14:textId="31EB00D7" w:rsidR="00690C78" w:rsidRDefault="00690C78">
                            <w:r w:rsidRPr="00350096">
                              <w:t>Inclusion criteria</w:t>
                            </w:r>
                            <w:r>
                              <w:t xml:space="preserve">: published 2009-2019; including a research study or critique of research studies.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FDA54" id="_x0000_t202" coordsize="21600,21600" o:spt="202" path="m,l,21600r21600,l21600,xe">
                <v:stroke joinstyle="miter"/>
                <v:path gradientshapeok="t" o:connecttype="rect"/>
              </v:shapetype>
              <v:shape id="Text Box 2" o:spid="_x0000_s1038" type="#_x0000_t202" style="position:absolute;margin-left:-30.25pt;margin-top:54.55pt;width:498.3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" stroked="f">
                <v:textbox style="mso-fit-shape-to-text:t">
                  <w:txbxContent>
                    <w:p w14:paraId="43FE529C" w14:textId="31EB00D7" w:rsidR="00690C78" w:rsidRDefault="00690C78">
                      <w:r w:rsidRPr="00350096">
                        <w:t>Inclusion criteria</w:t>
                      </w:r>
                      <w:r>
                        <w:t xml:space="preserve">: published 2009-2019; including a research study or critique of research studies. </w:t>
                      </w:r>
                    </w:p>
                  </w:txbxContent>
                </v:textbox>
                <w10:wrap type="square"/>
              </v:shape>
            </w:pict>
          </mc:Fallback>
        </mc:AlternateContent>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F94179" w:rsidRPr="00C05F8B">
        <w:rPr>
          <w:rFonts w:ascii="Calisto MT" w:hAnsi="Calisto MT"/>
          <w:sz w:val="32"/>
          <w:szCs w:val="32"/>
        </w:rPr>
        <w:tab/>
      </w:r>
      <w:r w:rsidR="00360D94" w:rsidRPr="00C05F8B">
        <w:rPr>
          <w:rFonts w:ascii="Calisto MT" w:hAnsi="Calisto MT"/>
          <w:sz w:val="32"/>
          <w:szCs w:val="32"/>
        </w:rPr>
        <w:tab/>
      </w:r>
      <w:r w:rsidR="00360D94" w:rsidRPr="00C05F8B">
        <w:rPr>
          <w:rFonts w:ascii="Calisto MT" w:hAnsi="Calisto MT"/>
          <w:sz w:val="32"/>
          <w:szCs w:val="32"/>
        </w:rPr>
        <w:tab/>
      </w:r>
      <w:r w:rsidR="00360D94" w:rsidRPr="00C05F8B">
        <w:rPr>
          <w:rFonts w:ascii="Calisto MT" w:hAnsi="Calisto MT"/>
          <w:sz w:val="32"/>
          <w:szCs w:val="32"/>
        </w:rPr>
        <w:tab/>
      </w:r>
      <w:r w:rsidR="00360D94" w:rsidRPr="00C05F8B">
        <w:rPr>
          <w:rFonts w:ascii="Calisto MT" w:hAnsi="Calisto MT"/>
          <w:sz w:val="32"/>
          <w:szCs w:val="32"/>
        </w:rPr>
        <w:tab/>
      </w:r>
      <w:r w:rsidR="00360D94" w:rsidRPr="00C05F8B">
        <w:rPr>
          <w:rFonts w:ascii="Calisto MT" w:hAnsi="Calisto MT"/>
          <w:sz w:val="32"/>
          <w:szCs w:val="32"/>
        </w:rPr>
        <w:tab/>
      </w:r>
      <w:r w:rsidR="00360D94" w:rsidRPr="00C05F8B">
        <w:rPr>
          <w:rFonts w:ascii="Calisto MT" w:hAnsi="Calisto MT"/>
          <w:sz w:val="32"/>
          <w:szCs w:val="32"/>
        </w:rPr>
        <w:tab/>
      </w:r>
      <w:r w:rsidR="00360D94" w:rsidRPr="00C05F8B">
        <w:rPr>
          <w:rFonts w:ascii="Calisto MT" w:hAnsi="Calisto MT"/>
          <w:sz w:val="32"/>
          <w:szCs w:val="32"/>
        </w:rPr>
        <w:tab/>
      </w:r>
      <w:r w:rsidR="00360D94" w:rsidRPr="00C05F8B">
        <w:rPr>
          <w:rFonts w:ascii="Calisto MT" w:hAnsi="Calisto MT"/>
          <w:sz w:val="32"/>
          <w:szCs w:val="32"/>
        </w:rPr>
        <w:tab/>
      </w:r>
      <w:r w:rsidR="00360D94" w:rsidRPr="00C05F8B">
        <w:rPr>
          <w:rFonts w:ascii="Calisto MT" w:hAnsi="Calisto MT"/>
          <w:sz w:val="32"/>
          <w:szCs w:val="32"/>
        </w:rPr>
        <w:tab/>
      </w:r>
      <w:r w:rsidR="00360D94" w:rsidRPr="00C05F8B">
        <w:rPr>
          <w:rFonts w:ascii="Calisto MT" w:hAnsi="Calisto MT"/>
          <w:sz w:val="32"/>
          <w:szCs w:val="32"/>
        </w:rPr>
        <w:tab/>
      </w:r>
      <w:r w:rsidR="00360D94" w:rsidRPr="00C05F8B">
        <w:rPr>
          <w:rFonts w:ascii="Calisto MT" w:hAnsi="Calisto MT"/>
          <w:sz w:val="32"/>
          <w:szCs w:val="32"/>
        </w:rPr>
        <w:tab/>
      </w:r>
      <w:r w:rsidR="00360D94" w:rsidRPr="00C05F8B">
        <w:rPr>
          <w:rFonts w:ascii="Calisto MT" w:hAnsi="Calisto MT"/>
          <w:sz w:val="32"/>
          <w:szCs w:val="32"/>
        </w:rPr>
        <w:tab/>
      </w:r>
      <w:r w:rsidR="00360D94" w:rsidRPr="00C05F8B">
        <w:rPr>
          <w:rFonts w:ascii="Calisto MT" w:hAnsi="Calisto MT"/>
          <w:sz w:val="32"/>
          <w:szCs w:val="32"/>
        </w:rPr>
        <w:tab/>
      </w:r>
      <w:r w:rsidR="00360D94" w:rsidRPr="00C05F8B">
        <w:rPr>
          <w:rFonts w:ascii="Calisto MT" w:hAnsi="Calisto MT"/>
          <w:sz w:val="32"/>
          <w:szCs w:val="32"/>
        </w:rPr>
        <w:tab/>
      </w:r>
      <w:r w:rsidR="00360D94">
        <w:rPr>
          <w:sz w:val="32"/>
          <w:szCs w:val="32"/>
        </w:rPr>
        <w:tab/>
      </w:r>
      <w:r w:rsidR="00360D94">
        <w:rPr>
          <w:sz w:val="32"/>
          <w:szCs w:val="32"/>
        </w:rPr>
        <w:tab/>
      </w:r>
      <w:r w:rsidR="00360D94">
        <w:rPr>
          <w:sz w:val="32"/>
          <w:szCs w:val="32"/>
        </w:rPr>
        <w:tab/>
      </w:r>
      <w:r w:rsidR="00360D94">
        <w:rPr>
          <w:sz w:val="32"/>
          <w:szCs w:val="32"/>
        </w:rPr>
        <w:tab/>
      </w:r>
      <w:r w:rsidR="00360D94">
        <w:rPr>
          <w:sz w:val="32"/>
          <w:szCs w:val="32"/>
        </w:rPr>
        <w:tab/>
      </w:r>
      <w:r w:rsidR="00360D94">
        <w:rPr>
          <w:sz w:val="32"/>
          <w:szCs w:val="32"/>
        </w:rPr>
        <w:tab/>
      </w:r>
      <w:r w:rsidR="00360D94">
        <w:rPr>
          <w:sz w:val="32"/>
          <w:szCs w:val="32"/>
        </w:rPr>
        <w:tab/>
      </w:r>
      <w:r w:rsidR="00360D94">
        <w:rPr>
          <w:sz w:val="32"/>
          <w:szCs w:val="32"/>
        </w:rPr>
        <w:tab/>
      </w:r>
      <w:r w:rsidR="00360D94">
        <w:rPr>
          <w:sz w:val="32"/>
          <w:szCs w:val="32"/>
        </w:rPr>
        <w:tab/>
      </w:r>
      <w:r w:rsidR="00360D94">
        <w:rPr>
          <w:sz w:val="32"/>
          <w:szCs w:val="32"/>
        </w:rPr>
        <w:tab/>
      </w:r>
      <w:r w:rsidR="00360D94">
        <w:rPr>
          <w:sz w:val="32"/>
          <w:szCs w:val="32"/>
        </w:rPr>
        <w:tab/>
      </w:r>
      <w:r w:rsidR="00360D94">
        <w:rPr>
          <w:sz w:val="32"/>
          <w:szCs w:val="32"/>
        </w:rPr>
        <w:tab/>
      </w:r>
    </w:p>
    <w:p w14:paraId="2E3BAE92" w14:textId="0729155C" w:rsidR="00360D94" w:rsidRDefault="00360D94" w:rsidP="009C3F4A">
      <w:pPr>
        <w:spacing w:line="360" w:lineRule="auto"/>
        <w:jc w:val="both"/>
        <w:rPr>
          <w:b/>
          <w:color w:val="000000"/>
        </w:rPr>
      </w:pPr>
      <w:r>
        <w:rPr>
          <w:b/>
          <w:color w:val="000000"/>
        </w:rPr>
        <w:br w:type="page"/>
      </w:r>
      <w:r w:rsidR="00371D0D">
        <w:rPr>
          <w:color w:val="000000"/>
        </w:rPr>
        <w:lastRenderedPageBreak/>
        <w:t xml:space="preserve"> </w:t>
      </w:r>
    </w:p>
    <w:p w14:paraId="03A4CB03" w14:textId="7B0C9EF9" w:rsidR="005B6A4A" w:rsidRPr="00F94179" w:rsidRDefault="005B6A4A" w:rsidP="00F94179">
      <w:pPr>
        <w:spacing w:line="360" w:lineRule="auto"/>
        <w:jc w:val="both"/>
        <w:rPr>
          <w:color w:val="000000"/>
        </w:rPr>
      </w:pPr>
      <w:r w:rsidRPr="00CB50AC">
        <w:rPr>
          <w:b/>
          <w:color w:val="000000"/>
        </w:rPr>
        <w:t>References</w:t>
      </w:r>
    </w:p>
    <w:p w14:paraId="1CE70487" w14:textId="12DA458C" w:rsidR="00341417" w:rsidRDefault="00341417" w:rsidP="00F368D2">
      <w:pPr>
        <w:ind w:left="360" w:hanging="360"/>
        <w:jc w:val="both"/>
        <w:rPr>
          <w:color w:val="000000"/>
        </w:rPr>
      </w:pPr>
    </w:p>
    <w:p w14:paraId="4BDDAB8E" w14:textId="5BA9068B" w:rsidR="00341417" w:rsidRPr="007C4B9A" w:rsidRDefault="00341417" w:rsidP="00341417">
      <w:pPr>
        <w:widowControl w:val="0"/>
        <w:autoSpaceDE w:val="0"/>
        <w:autoSpaceDN w:val="0"/>
        <w:adjustRightInd w:val="0"/>
        <w:ind w:left="720" w:hanging="720"/>
      </w:pPr>
      <w:proofErr w:type="spellStart"/>
      <w:r w:rsidRPr="007C4B9A">
        <w:t>Aabø</w:t>
      </w:r>
      <w:proofErr w:type="spellEnd"/>
      <w:r w:rsidRPr="007C4B9A">
        <w:t xml:space="preserve">, S., </w:t>
      </w:r>
      <w:proofErr w:type="spellStart"/>
      <w:r w:rsidRPr="007C4B9A">
        <w:t>Audunson</w:t>
      </w:r>
      <w:proofErr w:type="spellEnd"/>
      <w:r w:rsidRPr="007C4B9A">
        <w:t xml:space="preserve">, R., &amp; </w:t>
      </w:r>
      <w:proofErr w:type="spellStart"/>
      <w:r w:rsidRPr="007C4B9A">
        <w:t>Vårheim</w:t>
      </w:r>
      <w:proofErr w:type="spellEnd"/>
      <w:r w:rsidRPr="007C4B9A">
        <w:t xml:space="preserve">, A. (2010). How do public libraries function as meeting places? </w:t>
      </w:r>
      <w:r w:rsidRPr="007C4B9A">
        <w:rPr>
          <w:i/>
          <w:iCs/>
        </w:rPr>
        <w:t>Library &amp; Information Science Research, 32</w:t>
      </w:r>
      <w:r w:rsidRPr="007C4B9A">
        <w:t xml:space="preserve">(1), 16-26. </w:t>
      </w:r>
      <w:proofErr w:type="spellStart"/>
      <w:r w:rsidRPr="007C4B9A">
        <w:t>doi:https</w:t>
      </w:r>
      <w:proofErr w:type="spellEnd"/>
      <w:r w:rsidRPr="007C4B9A">
        <w:t>://doi.org/10.1016/j.lisr.2009.07.008</w:t>
      </w:r>
    </w:p>
    <w:p w14:paraId="11AEB726" w14:textId="77C775C2" w:rsidR="00ED72DC" w:rsidRPr="007C4B9A" w:rsidRDefault="00ED72DC" w:rsidP="00341417">
      <w:pPr>
        <w:widowControl w:val="0"/>
        <w:autoSpaceDE w:val="0"/>
        <w:autoSpaceDN w:val="0"/>
        <w:adjustRightInd w:val="0"/>
        <w:ind w:left="720" w:hanging="720"/>
      </w:pPr>
      <w:r w:rsidRPr="007C4B9A">
        <w:rPr>
          <w:rFonts w:eastAsia="Calibri"/>
          <w:lang w:val="en-AU"/>
        </w:rPr>
        <w:t xml:space="preserve">Appleton, L., Hall, H., Duff, A., &amp; </w:t>
      </w:r>
      <w:proofErr w:type="spellStart"/>
      <w:r w:rsidRPr="007C4B9A">
        <w:rPr>
          <w:rFonts w:eastAsia="Calibri"/>
          <w:lang w:val="en-AU"/>
        </w:rPr>
        <w:t>Raeside</w:t>
      </w:r>
      <w:proofErr w:type="spellEnd"/>
      <w:r w:rsidRPr="007C4B9A">
        <w:rPr>
          <w:rFonts w:eastAsia="Calibri"/>
          <w:lang w:val="en-AU"/>
        </w:rPr>
        <w:t xml:space="preserve">, R. (2018). UK public library roles and value: A focus group analysis. </w:t>
      </w:r>
      <w:r w:rsidRPr="007C4B9A">
        <w:rPr>
          <w:rFonts w:eastAsia="Calibri"/>
          <w:i/>
          <w:iCs/>
          <w:lang w:val="en-AU"/>
        </w:rPr>
        <w:t>Journal of Librarianship and Information Science, 50</w:t>
      </w:r>
      <w:r w:rsidRPr="007C4B9A">
        <w:rPr>
          <w:rFonts w:eastAsia="Calibri"/>
          <w:lang w:val="en-AU"/>
        </w:rPr>
        <w:t xml:space="preserve">(3), 275-283. </w:t>
      </w:r>
      <w:proofErr w:type="gramStart"/>
      <w:r w:rsidRPr="007C4B9A">
        <w:rPr>
          <w:rFonts w:eastAsia="Calibri"/>
          <w:lang w:val="en-AU"/>
        </w:rPr>
        <w:t>doi:</w:t>
      </w:r>
      <w:proofErr w:type="gramEnd"/>
      <w:r w:rsidRPr="007C4B9A">
        <w:rPr>
          <w:rFonts w:eastAsia="Calibri"/>
          <w:lang w:val="en-AU"/>
        </w:rPr>
        <w:t>10.1177/0961000618769987</w:t>
      </w:r>
    </w:p>
    <w:p w14:paraId="120B51BD" w14:textId="51A3F05E" w:rsidR="00341417" w:rsidRPr="007C4B9A" w:rsidRDefault="00341417" w:rsidP="00341417">
      <w:pPr>
        <w:widowControl w:val="0"/>
        <w:autoSpaceDE w:val="0"/>
        <w:autoSpaceDN w:val="0"/>
        <w:adjustRightInd w:val="0"/>
        <w:ind w:left="720" w:hanging="720"/>
      </w:pPr>
      <w:proofErr w:type="spellStart"/>
      <w:r w:rsidRPr="007C4B9A">
        <w:t>Audunson</w:t>
      </w:r>
      <w:proofErr w:type="spellEnd"/>
      <w:r w:rsidRPr="007C4B9A">
        <w:t xml:space="preserve">, R., </w:t>
      </w:r>
      <w:proofErr w:type="spellStart"/>
      <w:r w:rsidRPr="007C4B9A">
        <w:t>Essmat</w:t>
      </w:r>
      <w:proofErr w:type="spellEnd"/>
      <w:r w:rsidRPr="007C4B9A">
        <w:t xml:space="preserve">, S., &amp; </w:t>
      </w:r>
      <w:proofErr w:type="spellStart"/>
      <w:r w:rsidRPr="007C4B9A">
        <w:t>Aabø</w:t>
      </w:r>
      <w:proofErr w:type="spellEnd"/>
      <w:r w:rsidRPr="007C4B9A">
        <w:t xml:space="preserve">, S. (2011). Public libraries: A meeting place for immigrant women? </w:t>
      </w:r>
      <w:r w:rsidRPr="007C4B9A">
        <w:rPr>
          <w:i/>
          <w:iCs/>
        </w:rPr>
        <w:t>Library &amp; Information Science Research, 33</w:t>
      </w:r>
      <w:r w:rsidRPr="007C4B9A">
        <w:t xml:space="preserve">(3), 220-227. </w:t>
      </w:r>
      <w:proofErr w:type="spellStart"/>
      <w:r w:rsidRPr="007C4B9A">
        <w:t>doi:https</w:t>
      </w:r>
      <w:proofErr w:type="spellEnd"/>
      <w:r w:rsidRPr="007C4B9A">
        <w:t>://doi.org/10.1016/j.lisr.2011.01.003</w:t>
      </w:r>
    </w:p>
    <w:p w14:paraId="7C253A1C" w14:textId="39210415" w:rsidR="007C4B9A" w:rsidRPr="007C4B9A" w:rsidRDefault="007C4B9A" w:rsidP="00341417">
      <w:pPr>
        <w:widowControl w:val="0"/>
        <w:autoSpaceDE w:val="0"/>
        <w:autoSpaceDN w:val="0"/>
        <w:adjustRightInd w:val="0"/>
        <w:ind w:left="720" w:hanging="720"/>
        <w:rPr>
          <w:rFonts w:eastAsia="Calibri"/>
          <w:lang w:val="en-AU"/>
        </w:rPr>
      </w:pPr>
      <w:r w:rsidRPr="007C4B9A">
        <w:rPr>
          <w:rFonts w:eastAsia="Calibri"/>
          <w:lang w:val="en-AU"/>
        </w:rPr>
        <w:t>Australian Bureau of Statistics (ABS). (2019). City of Perth,</w:t>
      </w:r>
      <w:r w:rsidR="008B3C37">
        <w:rPr>
          <w:rFonts w:eastAsia="Calibri"/>
          <w:lang w:val="en-AU"/>
        </w:rPr>
        <w:t xml:space="preserve"> </w:t>
      </w:r>
      <w:r w:rsidRPr="007C4B9A">
        <w:rPr>
          <w:rFonts w:eastAsia="Calibri"/>
          <w:lang w:val="en-AU"/>
        </w:rPr>
        <w:t xml:space="preserve">Community Snapshot: 2016. Retrieved from </w:t>
      </w:r>
      <w:hyperlink r:id="rId13" w:history="1">
        <w:r w:rsidRPr="007C4B9A">
          <w:rPr>
            <w:rFonts w:eastAsia="Calibri"/>
            <w:lang w:val="en-AU"/>
          </w:rPr>
          <w:t>https://www.perth.wa.gov.au/future-perth/community-snapshot</w:t>
        </w:r>
      </w:hyperlink>
      <w:r w:rsidRPr="007C4B9A">
        <w:rPr>
          <w:rFonts w:eastAsia="Calibri"/>
          <w:lang w:val="en-AU"/>
        </w:rPr>
        <w:t>, 25 April 2019.</w:t>
      </w:r>
    </w:p>
    <w:p w14:paraId="194924B6" w14:textId="4CF91E37" w:rsidR="00F84589" w:rsidRPr="007C4B9A" w:rsidRDefault="00F84589" w:rsidP="00341417">
      <w:pPr>
        <w:widowControl w:val="0"/>
        <w:autoSpaceDE w:val="0"/>
        <w:autoSpaceDN w:val="0"/>
        <w:adjustRightInd w:val="0"/>
        <w:ind w:left="720" w:hanging="720"/>
      </w:pPr>
      <w:r w:rsidRPr="007C4B9A">
        <w:rPr>
          <w:rFonts w:eastAsia="Calibri"/>
          <w:lang w:val="en-AU"/>
        </w:rPr>
        <w:t xml:space="preserve">Australian Library and Information </w:t>
      </w:r>
      <w:r w:rsidR="008B3C37" w:rsidRPr="007C4B9A">
        <w:rPr>
          <w:rFonts w:eastAsia="Calibri"/>
          <w:lang w:val="en-AU"/>
        </w:rPr>
        <w:t>Association</w:t>
      </w:r>
      <w:r w:rsidRPr="007C4B9A">
        <w:rPr>
          <w:rFonts w:eastAsia="Calibri"/>
          <w:lang w:val="en-AU"/>
        </w:rPr>
        <w:t xml:space="preserve"> (ALIA). (2013). National welfare and economic contributions of public libraries: final report Retrieved from </w:t>
      </w:r>
      <w:hyperlink r:id="rId14" w:history="1">
        <w:r w:rsidRPr="007C4B9A">
          <w:rPr>
            <w:rFonts w:eastAsia="Calibri"/>
            <w:lang w:val="en-AU"/>
          </w:rPr>
          <w:t>https://www.alia.org.au/sites/default/files/Contribution%20of%20Australian%20Public%20Libraries%20Report.pdf</w:t>
        </w:r>
      </w:hyperlink>
    </w:p>
    <w:p w14:paraId="574B6965" w14:textId="4A69C2D1" w:rsidR="00341417" w:rsidRPr="007C4B9A" w:rsidRDefault="00341417" w:rsidP="00341417">
      <w:pPr>
        <w:widowControl w:val="0"/>
        <w:autoSpaceDE w:val="0"/>
        <w:autoSpaceDN w:val="0"/>
        <w:adjustRightInd w:val="0"/>
        <w:ind w:left="720" w:hanging="720"/>
      </w:pPr>
      <w:r w:rsidRPr="007C4B9A">
        <w:t xml:space="preserve">Barclay, D. A. (2017). Space and the Social Worth of Public Libraries. </w:t>
      </w:r>
      <w:r w:rsidRPr="007C4B9A">
        <w:rPr>
          <w:i/>
          <w:iCs/>
        </w:rPr>
        <w:t>Public Library Quarterly, 36</w:t>
      </w:r>
      <w:r w:rsidRPr="007C4B9A">
        <w:t>(4), 267-273. doi:10.1080/01616846.2017.1327767</w:t>
      </w:r>
    </w:p>
    <w:p w14:paraId="56639B46" w14:textId="6EF752B2" w:rsidR="00F84589" w:rsidRPr="007C4B9A" w:rsidRDefault="00F84589" w:rsidP="00341417">
      <w:pPr>
        <w:widowControl w:val="0"/>
        <w:autoSpaceDE w:val="0"/>
        <w:autoSpaceDN w:val="0"/>
        <w:adjustRightInd w:val="0"/>
        <w:ind w:left="720" w:hanging="720"/>
        <w:rPr>
          <w:rFonts w:eastAsia="Calibri"/>
          <w:lang w:val="en-AU"/>
        </w:rPr>
      </w:pPr>
      <w:r w:rsidRPr="007C4B9A">
        <w:rPr>
          <w:rFonts w:eastAsia="Calibri"/>
          <w:lang w:val="en-AU"/>
        </w:rPr>
        <w:t xml:space="preserve">Barratt-Pugh, C., Anderson, K., &amp; North, S. (2013). The Changing Perspectives of Librarians in the "Better Beginnings" Family Literacy Program. </w:t>
      </w:r>
      <w:r w:rsidRPr="007C4B9A">
        <w:rPr>
          <w:rFonts w:eastAsia="Calibri"/>
          <w:i/>
          <w:iCs/>
          <w:lang w:val="en-AU"/>
        </w:rPr>
        <w:t>Australian Library Journal, 62</w:t>
      </w:r>
      <w:r w:rsidRPr="007C4B9A">
        <w:rPr>
          <w:rFonts w:eastAsia="Calibri"/>
          <w:lang w:val="en-AU"/>
        </w:rPr>
        <w:t>(3), 183-195. doi:10.1080/00049670.2013.832847</w:t>
      </w:r>
    </w:p>
    <w:p w14:paraId="212C69FB" w14:textId="1348FC31" w:rsidR="00F84589" w:rsidRPr="007C4B9A" w:rsidRDefault="00F84589" w:rsidP="00F84589">
      <w:pPr>
        <w:widowControl w:val="0"/>
        <w:autoSpaceDE w:val="0"/>
        <w:autoSpaceDN w:val="0"/>
        <w:adjustRightInd w:val="0"/>
        <w:ind w:left="720" w:hanging="720"/>
      </w:pPr>
      <w:r w:rsidRPr="007C4B9A">
        <w:rPr>
          <w:rFonts w:eastAsia="Calibri"/>
          <w:lang w:val="en-AU"/>
        </w:rPr>
        <w:t xml:space="preserve">Barratt-Pugh, C., &amp; Maloney, C. (2015). "Growing Better Beginnings": An Evaluation of a Family Literacy Program for Pre-Schoolers. </w:t>
      </w:r>
      <w:r w:rsidRPr="007C4B9A">
        <w:rPr>
          <w:rFonts w:eastAsia="Calibri"/>
          <w:i/>
          <w:iCs/>
          <w:lang w:val="en-AU"/>
        </w:rPr>
        <w:t>Issues in Educational Research, 25</w:t>
      </w:r>
      <w:r w:rsidR="007C4B9A" w:rsidRPr="007C4B9A">
        <w:rPr>
          <w:rFonts w:eastAsia="Calibri"/>
          <w:lang w:val="en-AU"/>
        </w:rPr>
        <w:t>(4), 364-380</w:t>
      </w:r>
    </w:p>
    <w:p w14:paraId="2A6E0492" w14:textId="77777777" w:rsidR="00341417" w:rsidRPr="007C4B9A" w:rsidRDefault="00341417" w:rsidP="00341417">
      <w:pPr>
        <w:widowControl w:val="0"/>
        <w:autoSpaceDE w:val="0"/>
        <w:autoSpaceDN w:val="0"/>
        <w:adjustRightInd w:val="0"/>
        <w:ind w:left="720" w:hanging="720"/>
      </w:pPr>
      <w:r w:rsidRPr="007C4B9A">
        <w:t xml:space="preserve">Brewster, L. (2014). The public library as therapeutic landscape: A qualitative case study. </w:t>
      </w:r>
      <w:r w:rsidRPr="007C4B9A">
        <w:rPr>
          <w:i/>
          <w:iCs/>
        </w:rPr>
        <w:t>Health and Place, 26</w:t>
      </w:r>
      <w:r w:rsidRPr="007C4B9A">
        <w:t>, 94-99. doi:10.1016/j.healthplace.2013.12.015</w:t>
      </w:r>
    </w:p>
    <w:p w14:paraId="109975EC" w14:textId="07B73F15" w:rsidR="007C4B9A" w:rsidRPr="007C4B9A" w:rsidRDefault="007C4B9A" w:rsidP="00341417">
      <w:pPr>
        <w:widowControl w:val="0"/>
        <w:autoSpaceDE w:val="0"/>
        <w:autoSpaceDN w:val="0"/>
        <w:adjustRightInd w:val="0"/>
        <w:ind w:left="720" w:hanging="720"/>
      </w:pPr>
      <w:r w:rsidRPr="007C4B9A">
        <w:rPr>
          <w:rFonts w:eastAsia="Calibri"/>
          <w:lang w:val="en-AU"/>
        </w:rPr>
        <w:t xml:space="preserve">City of Perth. (2019). Community Profile. Retrieved from </w:t>
      </w:r>
      <w:hyperlink r:id="rId15" w:history="1">
        <w:r w:rsidRPr="007C4B9A">
          <w:rPr>
            <w:rFonts w:eastAsia="Calibri"/>
            <w:lang w:val="en-AU"/>
          </w:rPr>
          <w:t>https://profile.id.com.au/perth</w:t>
        </w:r>
      </w:hyperlink>
      <w:r w:rsidRPr="007C4B9A">
        <w:rPr>
          <w:rFonts w:eastAsia="Calibri"/>
          <w:lang w:val="en-AU"/>
        </w:rPr>
        <w:t>, 25 April 2019.</w:t>
      </w:r>
    </w:p>
    <w:p w14:paraId="20731C4F" w14:textId="0FC4EBDF" w:rsidR="00341417" w:rsidRPr="007C4B9A" w:rsidRDefault="00341417" w:rsidP="00341417">
      <w:pPr>
        <w:widowControl w:val="0"/>
        <w:autoSpaceDE w:val="0"/>
        <w:autoSpaceDN w:val="0"/>
        <w:adjustRightInd w:val="0"/>
        <w:ind w:left="720" w:hanging="720"/>
      </w:pPr>
      <w:r w:rsidRPr="007C4B9A">
        <w:t xml:space="preserve">Ferguson, S. (2012). Are public libraries developers of social capital? A review of their contribution and attempts to demonstrate it. </w:t>
      </w:r>
      <w:r w:rsidRPr="007C4B9A">
        <w:rPr>
          <w:i/>
          <w:iCs/>
        </w:rPr>
        <w:t>The Australian Library Journal, 61</w:t>
      </w:r>
      <w:r w:rsidRPr="007C4B9A">
        <w:t>(1), 22-33. doi:10.1080/00049670.2012.10722299</w:t>
      </w:r>
    </w:p>
    <w:p w14:paraId="7B11BEDD" w14:textId="648ACE50" w:rsidR="00341417" w:rsidRPr="007C4B9A" w:rsidRDefault="00341417" w:rsidP="00341417">
      <w:pPr>
        <w:widowControl w:val="0"/>
        <w:autoSpaceDE w:val="0"/>
        <w:autoSpaceDN w:val="0"/>
        <w:adjustRightInd w:val="0"/>
        <w:ind w:left="720" w:hanging="720"/>
      </w:pPr>
      <w:r w:rsidRPr="007C4B9A">
        <w:t xml:space="preserve">Freeman, L. M., &amp; </w:t>
      </w:r>
      <w:proofErr w:type="spellStart"/>
      <w:r w:rsidRPr="007C4B9A">
        <w:t>Blomley</w:t>
      </w:r>
      <w:proofErr w:type="spellEnd"/>
      <w:r w:rsidRPr="007C4B9A">
        <w:t xml:space="preserve">, N. (2018). Enacting property: Making space for the public in the municipal library. </w:t>
      </w:r>
      <w:r w:rsidRPr="007C4B9A">
        <w:rPr>
          <w:i/>
          <w:iCs/>
        </w:rPr>
        <w:t>Environment and Planning C: Politics and Space</w:t>
      </w:r>
      <w:r w:rsidRPr="007C4B9A">
        <w:t>, doi</w:t>
      </w:r>
      <w:proofErr w:type="gramStart"/>
      <w:r w:rsidRPr="007C4B9A">
        <w:t>:10.1177</w:t>
      </w:r>
      <w:proofErr w:type="gramEnd"/>
      <w:r w:rsidRPr="007C4B9A">
        <w:t>/2399654418784024</w:t>
      </w:r>
    </w:p>
    <w:p w14:paraId="0F10972D" w14:textId="10026707" w:rsidR="00AE1361" w:rsidRPr="007C4B9A" w:rsidRDefault="00AE1361" w:rsidP="00341417">
      <w:pPr>
        <w:widowControl w:val="0"/>
        <w:autoSpaceDE w:val="0"/>
        <w:autoSpaceDN w:val="0"/>
        <w:adjustRightInd w:val="0"/>
        <w:ind w:left="720" w:hanging="720"/>
      </w:pPr>
      <w:r w:rsidRPr="007C4B9A">
        <w:rPr>
          <w:rFonts w:eastAsia="Calibri"/>
          <w:lang w:val="en-AU"/>
        </w:rPr>
        <w:t xml:space="preserve">Hallam, G., </w:t>
      </w:r>
      <w:proofErr w:type="spellStart"/>
      <w:r w:rsidRPr="007C4B9A">
        <w:rPr>
          <w:rFonts w:eastAsia="Calibri"/>
          <w:lang w:val="en-AU"/>
        </w:rPr>
        <w:t>Hiskens</w:t>
      </w:r>
      <w:proofErr w:type="spellEnd"/>
      <w:r w:rsidRPr="007C4B9A">
        <w:rPr>
          <w:rFonts w:eastAsia="Calibri"/>
          <w:lang w:val="en-AU"/>
        </w:rPr>
        <w:t xml:space="preserve">, A., &amp; Ong, R. (2015). Conceptualising the Learning Organisation: Creating a Maturity Framework to Develop a Shared Understanding of the Library’s Role in Literacy and Learning. In </w:t>
      </w:r>
      <w:proofErr w:type="spellStart"/>
      <w:r w:rsidRPr="007C4B9A">
        <w:rPr>
          <w:rFonts w:eastAsia="Calibri"/>
          <w:i/>
          <w:iCs/>
          <w:lang w:val="en-AU"/>
        </w:rPr>
        <w:t>Bibliothek</w:t>
      </w:r>
      <w:proofErr w:type="spellEnd"/>
      <w:r w:rsidRPr="007C4B9A">
        <w:rPr>
          <w:rFonts w:eastAsia="Calibri"/>
          <w:i/>
          <w:iCs/>
          <w:lang w:val="en-AU"/>
        </w:rPr>
        <w:t xml:space="preserve"> </w:t>
      </w:r>
      <w:proofErr w:type="spellStart"/>
      <w:r w:rsidRPr="007C4B9A">
        <w:rPr>
          <w:rFonts w:eastAsia="Calibri"/>
          <w:i/>
          <w:iCs/>
          <w:lang w:val="en-AU"/>
        </w:rPr>
        <w:t>Forschung</w:t>
      </w:r>
      <w:proofErr w:type="spellEnd"/>
      <w:r w:rsidRPr="007C4B9A">
        <w:rPr>
          <w:rFonts w:eastAsia="Calibri"/>
          <w:i/>
          <w:iCs/>
          <w:lang w:val="en-AU"/>
        </w:rPr>
        <w:t xml:space="preserve"> und Praxis</w:t>
      </w:r>
      <w:r w:rsidRPr="007C4B9A">
        <w:rPr>
          <w:rFonts w:eastAsia="Calibri"/>
          <w:lang w:val="en-AU"/>
        </w:rPr>
        <w:t xml:space="preserve"> (Vol. 39, pp. 61).</w:t>
      </w:r>
    </w:p>
    <w:p w14:paraId="4EB6CAAC" w14:textId="3053848B" w:rsidR="00341417" w:rsidRPr="007C4B9A" w:rsidRDefault="00341417" w:rsidP="00341417">
      <w:pPr>
        <w:widowControl w:val="0"/>
        <w:autoSpaceDE w:val="0"/>
        <w:autoSpaceDN w:val="0"/>
        <w:adjustRightInd w:val="0"/>
        <w:ind w:left="720" w:hanging="720"/>
      </w:pPr>
      <w:proofErr w:type="spellStart"/>
      <w:r w:rsidRPr="007C4B9A">
        <w:t>Halpin</w:t>
      </w:r>
      <w:proofErr w:type="spellEnd"/>
      <w:r w:rsidRPr="007C4B9A">
        <w:t xml:space="preserve">, E., Rankin, C., Chapman, E. L., &amp; Walker, C. (2015). Measuring the value of public libraries in the digital age: What the power people need to know. </w:t>
      </w:r>
      <w:r w:rsidRPr="007C4B9A">
        <w:rPr>
          <w:i/>
          <w:iCs/>
        </w:rPr>
        <w:t>Journal of Librarianship and Information Science, 47</w:t>
      </w:r>
      <w:r w:rsidRPr="007C4B9A">
        <w:t xml:space="preserve">(1), 30-42. </w:t>
      </w:r>
      <w:proofErr w:type="gramStart"/>
      <w:r w:rsidRPr="007C4B9A">
        <w:t>doi:</w:t>
      </w:r>
      <w:proofErr w:type="gramEnd"/>
      <w:r w:rsidRPr="007C4B9A">
        <w:t>10.1177/0961000613497746</w:t>
      </w:r>
    </w:p>
    <w:p w14:paraId="2BA76EE5" w14:textId="77777777" w:rsidR="00341417" w:rsidRPr="007C4B9A" w:rsidRDefault="00341417" w:rsidP="00341417">
      <w:pPr>
        <w:widowControl w:val="0"/>
        <w:autoSpaceDE w:val="0"/>
        <w:autoSpaceDN w:val="0"/>
        <w:adjustRightInd w:val="0"/>
        <w:ind w:left="720" w:hanging="720"/>
      </w:pPr>
      <w:r w:rsidRPr="007C4B9A">
        <w:lastRenderedPageBreak/>
        <w:t xml:space="preserve">Houghton, K., </w:t>
      </w:r>
      <w:proofErr w:type="spellStart"/>
      <w:r w:rsidRPr="007C4B9A">
        <w:t>Foth</w:t>
      </w:r>
      <w:proofErr w:type="spellEnd"/>
      <w:r w:rsidRPr="007C4B9A">
        <w:t xml:space="preserve">, M., &amp; Miller, E. (2013). The continuing relevance of the library as a third place for users and non-users of IT: the case of Canada Bay. </w:t>
      </w:r>
      <w:r w:rsidRPr="007C4B9A">
        <w:rPr>
          <w:i/>
          <w:iCs/>
        </w:rPr>
        <w:t>The Australian Library Journal, 62</w:t>
      </w:r>
      <w:r w:rsidRPr="007C4B9A">
        <w:t>(1), 27-39. doi:10.1080/00049670.2013.771764</w:t>
      </w:r>
    </w:p>
    <w:p w14:paraId="6BE8737F" w14:textId="0310C994" w:rsidR="00341417" w:rsidRPr="007C4B9A" w:rsidRDefault="00341417" w:rsidP="00341417">
      <w:pPr>
        <w:widowControl w:val="0"/>
        <w:autoSpaceDE w:val="0"/>
        <w:autoSpaceDN w:val="0"/>
        <w:adjustRightInd w:val="0"/>
        <w:ind w:left="720" w:hanging="720"/>
      </w:pPr>
      <w:r w:rsidRPr="007C4B9A">
        <w:t xml:space="preserve">Jaeger, P. T., </w:t>
      </w:r>
      <w:proofErr w:type="spellStart"/>
      <w:r w:rsidRPr="007C4B9A">
        <w:t>Bertot</w:t>
      </w:r>
      <w:proofErr w:type="spellEnd"/>
      <w:r w:rsidRPr="007C4B9A">
        <w:t xml:space="preserve">, J. C., Thompson, K. M., Katz, S. M., &amp; </w:t>
      </w:r>
      <w:proofErr w:type="spellStart"/>
      <w:r w:rsidRPr="007C4B9A">
        <w:t>Decoster</w:t>
      </w:r>
      <w:proofErr w:type="spellEnd"/>
      <w:r w:rsidRPr="007C4B9A">
        <w:t xml:space="preserve">, E. J. (2012). The Intersection of Public Policy and Public Access: Digital Divides, Digital Literacy, Digital Inclusion, and Public Libraries. </w:t>
      </w:r>
      <w:r w:rsidRPr="007C4B9A">
        <w:rPr>
          <w:i/>
          <w:iCs/>
        </w:rPr>
        <w:t>Public Library Quarterly, 31</w:t>
      </w:r>
      <w:r w:rsidRPr="007C4B9A">
        <w:t>(1), 1-20. doi:10.1080/01616846.2012.654728</w:t>
      </w:r>
    </w:p>
    <w:p w14:paraId="3611EA37" w14:textId="797DC4EF" w:rsidR="00AE1361" w:rsidRPr="007C4B9A" w:rsidRDefault="00AE1361" w:rsidP="00341417">
      <w:pPr>
        <w:widowControl w:val="0"/>
        <w:autoSpaceDE w:val="0"/>
        <w:autoSpaceDN w:val="0"/>
        <w:adjustRightInd w:val="0"/>
        <w:ind w:left="720" w:hanging="720"/>
      </w:pPr>
      <w:r w:rsidRPr="007C4B9A">
        <w:rPr>
          <w:rFonts w:eastAsia="Calibri"/>
          <w:lang w:val="en-AU"/>
        </w:rPr>
        <w:t>Johnson, C. A. (2010). Do public libraries contribute to social capital</w:t>
      </w:r>
      <w:proofErr w:type="gramStart"/>
      <w:r w:rsidRPr="007C4B9A">
        <w:rPr>
          <w:rFonts w:eastAsia="Calibri"/>
          <w:lang w:val="en-AU"/>
        </w:rPr>
        <w:t>?:</w:t>
      </w:r>
      <w:proofErr w:type="gramEnd"/>
      <w:r w:rsidRPr="007C4B9A">
        <w:rPr>
          <w:rFonts w:eastAsia="Calibri"/>
          <w:lang w:val="en-AU"/>
        </w:rPr>
        <w:t xml:space="preserve"> A preliminary investigation into the relationship. </w:t>
      </w:r>
      <w:r w:rsidRPr="007C4B9A">
        <w:rPr>
          <w:rFonts w:eastAsia="Calibri"/>
          <w:i/>
          <w:iCs/>
          <w:lang w:val="en-AU"/>
        </w:rPr>
        <w:t>Library &amp; Information Science Research (07408188), 32</w:t>
      </w:r>
      <w:r w:rsidRPr="007C4B9A">
        <w:rPr>
          <w:rFonts w:eastAsia="Calibri"/>
          <w:lang w:val="en-AU"/>
        </w:rPr>
        <w:t>(2), 147-155. doi:10.1016/j.lisr.2009.12.006</w:t>
      </w:r>
    </w:p>
    <w:p w14:paraId="4FA3BA5C" w14:textId="737D0FE8" w:rsidR="00341417" w:rsidRPr="007C4B9A" w:rsidRDefault="00AE1361" w:rsidP="00341417">
      <w:pPr>
        <w:widowControl w:val="0"/>
        <w:autoSpaceDE w:val="0"/>
        <w:autoSpaceDN w:val="0"/>
        <w:adjustRightInd w:val="0"/>
        <w:ind w:left="720" w:hanging="720"/>
      </w:pPr>
      <w:r w:rsidRPr="007C4B9A">
        <w:t xml:space="preserve"> ---</w:t>
      </w:r>
      <w:r w:rsidR="00341417" w:rsidRPr="007C4B9A">
        <w:t xml:space="preserve"> (201</w:t>
      </w:r>
      <w:r w:rsidRPr="007C4B9A">
        <w:t>2</w:t>
      </w:r>
      <w:r w:rsidR="00341417" w:rsidRPr="007C4B9A">
        <w:t xml:space="preserve">). How do public libraries create social capital? An analysis of interactions between library staff and patrons. </w:t>
      </w:r>
      <w:r w:rsidR="00341417" w:rsidRPr="007C4B9A">
        <w:rPr>
          <w:i/>
          <w:iCs/>
        </w:rPr>
        <w:t>Library and Information Science Research, 34</w:t>
      </w:r>
      <w:r w:rsidR="00341417" w:rsidRPr="007C4B9A">
        <w:t>(1). doi:10.1016/j.lisr.2011.07.009</w:t>
      </w:r>
    </w:p>
    <w:p w14:paraId="156DA1AC" w14:textId="77777777" w:rsidR="00341417" w:rsidRPr="007C4B9A" w:rsidRDefault="00341417" w:rsidP="00341417">
      <w:pPr>
        <w:widowControl w:val="0"/>
        <w:autoSpaceDE w:val="0"/>
        <w:autoSpaceDN w:val="0"/>
        <w:adjustRightInd w:val="0"/>
        <w:ind w:left="720" w:hanging="720"/>
      </w:pPr>
      <w:proofErr w:type="spellStart"/>
      <w:r w:rsidRPr="007C4B9A">
        <w:t>Khoir</w:t>
      </w:r>
      <w:proofErr w:type="spellEnd"/>
      <w:r w:rsidRPr="007C4B9A">
        <w:t xml:space="preserve">, S., Du, J. T., Davison, R. M., &amp; </w:t>
      </w:r>
      <w:proofErr w:type="spellStart"/>
      <w:r w:rsidRPr="007C4B9A">
        <w:t>Koronios</w:t>
      </w:r>
      <w:proofErr w:type="spellEnd"/>
      <w:r w:rsidRPr="007C4B9A">
        <w:t xml:space="preserve">, A. (2017). Contributing to social capital: An investigation of Asian immigrants' use of public library services. </w:t>
      </w:r>
      <w:r w:rsidRPr="007C4B9A">
        <w:rPr>
          <w:i/>
          <w:iCs/>
        </w:rPr>
        <w:t>Library &amp; Information Science Research, 39</w:t>
      </w:r>
      <w:r w:rsidRPr="007C4B9A">
        <w:t xml:space="preserve">(1), 34-45. Retrieved from http://www.sciencedirect.com/science/article/pii/S0740818815300803. </w:t>
      </w:r>
      <w:proofErr w:type="spellStart"/>
      <w:r w:rsidRPr="007C4B9A">
        <w:t>doi:https</w:t>
      </w:r>
      <w:proofErr w:type="spellEnd"/>
      <w:r w:rsidRPr="007C4B9A">
        <w:t>://doi.org/10.1016/j.lisr.2017.01.005</w:t>
      </w:r>
    </w:p>
    <w:p w14:paraId="6AB35151" w14:textId="4A40685C" w:rsidR="00CC58EA" w:rsidRPr="00CC58EA" w:rsidRDefault="00CC58EA" w:rsidP="007C4B9A">
      <w:pPr>
        <w:autoSpaceDE w:val="0"/>
        <w:autoSpaceDN w:val="0"/>
        <w:adjustRightInd w:val="0"/>
        <w:ind w:left="720" w:hanging="720"/>
        <w:rPr>
          <w:rFonts w:eastAsia="Calibri"/>
          <w:lang w:val="en-AU"/>
        </w:rPr>
      </w:pPr>
      <w:r w:rsidRPr="00CC58EA">
        <w:rPr>
          <w:rFonts w:eastAsia="Calibri"/>
          <w:lang w:val="en-AU"/>
        </w:rPr>
        <w:t xml:space="preserve">Putnam, R. D. (1993). </w:t>
      </w:r>
      <w:r w:rsidRPr="00CC58EA">
        <w:rPr>
          <w:rFonts w:eastAsia="Calibri"/>
          <w:i/>
          <w:iCs/>
          <w:lang w:val="en-AU"/>
        </w:rPr>
        <w:t xml:space="preserve">Making democracy work: civic traditions in modern Italy / Robert D. Putnam with Robert </w:t>
      </w:r>
      <w:proofErr w:type="spellStart"/>
      <w:r w:rsidRPr="00CC58EA">
        <w:rPr>
          <w:rFonts w:eastAsia="Calibri"/>
          <w:i/>
          <w:iCs/>
          <w:lang w:val="en-AU"/>
        </w:rPr>
        <w:t>Leonardi</w:t>
      </w:r>
      <w:proofErr w:type="spellEnd"/>
      <w:r w:rsidRPr="00CC58EA">
        <w:rPr>
          <w:rFonts w:eastAsia="Calibri"/>
          <w:i/>
          <w:iCs/>
          <w:lang w:val="en-AU"/>
        </w:rPr>
        <w:t xml:space="preserve"> and </w:t>
      </w:r>
      <w:proofErr w:type="spellStart"/>
      <w:r w:rsidRPr="00CC58EA">
        <w:rPr>
          <w:rFonts w:eastAsia="Calibri"/>
          <w:i/>
          <w:iCs/>
          <w:lang w:val="en-AU"/>
        </w:rPr>
        <w:t>Raffaella</w:t>
      </w:r>
      <w:proofErr w:type="spellEnd"/>
      <w:r w:rsidRPr="00CC58EA">
        <w:rPr>
          <w:rFonts w:eastAsia="Calibri"/>
          <w:i/>
          <w:iCs/>
          <w:lang w:val="en-AU"/>
        </w:rPr>
        <w:t xml:space="preserve"> Y. </w:t>
      </w:r>
      <w:proofErr w:type="spellStart"/>
      <w:r w:rsidRPr="00CC58EA">
        <w:rPr>
          <w:rFonts w:eastAsia="Calibri"/>
          <w:i/>
          <w:iCs/>
          <w:lang w:val="en-AU"/>
        </w:rPr>
        <w:t>Nanetti</w:t>
      </w:r>
      <w:proofErr w:type="spellEnd"/>
      <w:r w:rsidRPr="00CC58EA">
        <w:rPr>
          <w:rFonts w:eastAsia="Calibri"/>
          <w:lang w:val="en-AU"/>
        </w:rPr>
        <w:t>. Princeton, N.J.: Princeton, N.J.: Princeton University Press.</w:t>
      </w:r>
    </w:p>
    <w:p w14:paraId="4A0FBD70" w14:textId="09144BF9" w:rsidR="007C4B9A" w:rsidRPr="007C4B9A" w:rsidRDefault="007C4B9A" w:rsidP="007C4B9A">
      <w:pPr>
        <w:autoSpaceDE w:val="0"/>
        <w:autoSpaceDN w:val="0"/>
        <w:adjustRightInd w:val="0"/>
        <w:ind w:left="720" w:hanging="720"/>
        <w:rPr>
          <w:rFonts w:eastAsia="Calibri"/>
          <w:lang w:val="en-AU"/>
        </w:rPr>
      </w:pPr>
      <w:r w:rsidRPr="007C4B9A">
        <w:rPr>
          <w:rFonts w:eastAsia="Calibri"/>
          <w:lang w:val="en-AU"/>
        </w:rPr>
        <w:t xml:space="preserve">Smeaton, K., Bruce, C. S., Hughes, H., &amp; Davis, K. (2017). The online life of individuals experiencing socioeconomic disadvantage: how do they experience information? </w:t>
      </w:r>
      <w:r w:rsidRPr="007C4B9A">
        <w:rPr>
          <w:rFonts w:eastAsia="Calibri"/>
          <w:i/>
          <w:iCs/>
          <w:lang w:val="en-AU"/>
        </w:rPr>
        <w:t>Information Research, 22</w:t>
      </w:r>
      <w:r w:rsidRPr="007C4B9A">
        <w:rPr>
          <w:rFonts w:eastAsia="Calibri"/>
          <w:lang w:val="en-AU"/>
        </w:rPr>
        <w:t>(3).</w:t>
      </w:r>
    </w:p>
    <w:p w14:paraId="19AB8D00" w14:textId="07E5577C" w:rsidR="00341417" w:rsidRPr="007C4B9A" w:rsidRDefault="00341417" w:rsidP="00341417">
      <w:pPr>
        <w:widowControl w:val="0"/>
        <w:autoSpaceDE w:val="0"/>
        <w:autoSpaceDN w:val="0"/>
        <w:adjustRightInd w:val="0"/>
        <w:ind w:left="720" w:hanging="720"/>
      </w:pPr>
      <w:r w:rsidRPr="007C4B9A">
        <w:t xml:space="preserve">Taylor, N. G., Jaeger, P. T., McDermott, A. J., Kodama, C. M., &amp; </w:t>
      </w:r>
      <w:proofErr w:type="spellStart"/>
      <w:r w:rsidRPr="007C4B9A">
        <w:t>Bertot</w:t>
      </w:r>
      <w:proofErr w:type="spellEnd"/>
      <w:r w:rsidRPr="007C4B9A">
        <w:t xml:space="preserve">, J. C. (2012). Public Libraries in the New Economy: Twenty-First-Century Skills, the Internet, and Community Needs. </w:t>
      </w:r>
      <w:r w:rsidRPr="007C4B9A">
        <w:rPr>
          <w:i/>
          <w:iCs/>
        </w:rPr>
        <w:t>Public Library Quarterly, 31</w:t>
      </w:r>
      <w:r w:rsidRPr="007C4B9A">
        <w:t>(3), 191-219. doi:10.1080/01616846.2012.707106</w:t>
      </w:r>
      <w:r w:rsidR="00AE1361" w:rsidRPr="007C4B9A">
        <w:t>.</w:t>
      </w:r>
    </w:p>
    <w:p w14:paraId="778F6C46" w14:textId="083356EF" w:rsidR="00AE1361" w:rsidRPr="007C4B9A" w:rsidRDefault="00AE1361" w:rsidP="00341417">
      <w:pPr>
        <w:widowControl w:val="0"/>
        <w:autoSpaceDE w:val="0"/>
        <w:autoSpaceDN w:val="0"/>
        <w:adjustRightInd w:val="0"/>
        <w:ind w:left="720" w:hanging="720"/>
      </w:pPr>
      <w:proofErr w:type="spellStart"/>
      <w:r w:rsidRPr="007C4B9A">
        <w:rPr>
          <w:rFonts w:eastAsia="Calibri"/>
          <w:lang w:val="en-AU"/>
        </w:rPr>
        <w:t>Usherwood</w:t>
      </w:r>
      <w:proofErr w:type="spellEnd"/>
      <w:r w:rsidRPr="007C4B9A">
        <w:rPr>
          <w:rFonts w:eastAsia="Calibri"/>
          <w:lang w:val="en-AU"/>
        </w:rPr>
        <w:t xml:space="preserve">, B. (2002). Demonstrating impact through qualitative research. </w:t>
      </w:r>
      <w:r w:rsidRPr="007C4B9A">
        <w:rPr>
          <w:rFonts w:eastAsia="Calibri"/>
          <w:i/>
          <w:iCs/>
          <w:lang w:val="en-AU"/>
        </w:rPr>
        <w:t>Performance Measurement and Metrics, 3</w:t>
      </w:r>
      <w:r w:rsidRPr="007C4B9A">
        <w:rPr>
          <w:rFonts w:eastAsia="Calibri"/>
          <w:lang w:val="en-AU"/>
        </w:rPr>
        <w:t xml:space="preserve">(3), 117-122. </w:t>
      </w:r>
      <w:proofErr w:type="gramStart"/>
      <w:r w:rsidRPr="007C4B9A">
        <w:rPr>
          <w:rFonts w:eastAsia="Calibri"/>
          <w:lang w:val="en-AU"/>
        </w:rPr>
        <w:t>doi:</w:t>
      </w:r>
      <w:proofErr w:type="gramEnd"/>
      <w:r w:rsidRPr="007C4B9A">
        <w:rPr>
          <w:rFonts w:eastAsia="Calibri"/>
          <w:lang w:val="en-AU"/>
        </w:rPr>
        <w:t>10.1108/14678040210453546</w:t>
      </w:r>
    </w:p>
    <w:p w14:paraId="57C4A031" w14:textId="77777777" w:rsidR="00341417" w:rsidRPr="007C4B9A" w:rsidRDefault="00341417" w:rsidP="00341417">
      <w:pPr>
        <w:widowControl w:val="0"/>
        <w:autoSpaceDE w:val="0"/>
        <w:autoSpaceDN w:val="0"/>
        <w:adjustRightInd w:val="0"/>
        <w:ind w:left="720" w:hanging="720"/>
      </w:pPr>
      <w:proofErr w:type="gramStart"/>
      <w:r w:rsidRPr="007C4B9A">
        <w:t>van</w:t>
      </w:r>
      <w:proofErr w:type="gramEnd"/>
      <w:r w:rsidRPr="007C4B9A">
        <w:t xml:space="preserve"> de Pas, J. (2014). Ad </w:t>
      </w:r>
      <w:proofErr w:type="spellStart"/>
      <w:r w:rsidRPr="007C4B9A">
        <w:t>fontes</w:t>
      </w:r>
      <w:proofErr w:type="spellEnd"/>
      <w:r w:rsidRPr="007C4B9A">
        <w:t xml:space="preserve">! Books on shelves! </w:t>
      </w:r>
      <w:r w:rsidRPr="007C4B9A">
        <w:rPr>
          <w:i/>
          <w:iCs/>
        </w:rPr>
        <w:t>New Library World, 115</w:t>
      </w:r>
      <w:r w:rsidRPr="007C4B9A">
        <w:t xml:space="preserve">(5/6), 272-284. </w:t>
      </w:r>
    </w:p>
    <w:p w14:paraId="5AAABEF6" w14:textId="02938695" w:rsidR="00341417" w:rsidRPr="000C1116" w:rsidRDefault="000C1116" w:rsidP="000C1116">
      <w:pPr>
        <w:ind w:left="360" w:hanging="360"/>
        <w:rPr>
          <w:color w:val="000000"/>
        </w:rPr>
      </w:pPr>
      <w:proofErr w:type="spellStart"/>
      <w:r w:rsidRPr="000C1116">
        <w:rPr>
          <w:rFonts w:eastAsia="Calibri"/>
          <w:lang w:val="en-AU"/>
        </w:rPr>
        <w:t>Woolcock</w:t>
      </w:r>
      <w:proofErr w:type="spellEnd"/>
      <w:r w:rsidRPr="000C1116">
        <w:rPr>
          <w:rFonts w:eastAsia="Calibri"/>
          <w:lang w:val="en-AU"/>
        </w:rPr>
        <w:t xml:space="preserve">, M. (2010). The rise and routinization of social capital, 1988-2008. </w:t>
      </w:r>
      <w:r w:rsidRPr="000C1116">
        <w:rPr>
          <w:rFonts w:eastAsia="Calibri"/>
          <w:i/>
          <w:iCs/>
          <w:lang w:val="en-AU"/>
        </w:rPr>
        <w:t>Annual Review of Political Science, 13</w:t>
      </w:r>
      <w:r w:rsidRPr="000C1116">
        <w:rPr>
          <w:rFonts w:eastAsia="Calibri"/>
          <w:lang w:val="en-AU"/>
        </w:rPr>
        <w:t>(1), 469-487. doi:10.1146/annurev.polisci.031108.094151</w:t>
      </w:r>
    </w:p>
    <w:p w14:paraId="20F9AECA" w14:textId="77777777" w:rsidR="00A217C2" w:rsidRPr="000C1116" w:rsidRDefault="00A217C2" w:rsidP="000C1116">
      <w:pPr>
        <w:ind w:left="360" w:hanging="360"/>
        <w:rPr>
          <w:color w:val="000000"/>
        </w:rPr>
      </w:pPr>
    </w:p>
    <w:sectPr w:rsidR="00A217C2" w:rsidRPr="000C1116" w:rsidSect="00037A8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4CA29" w14:textId="77777777" w:rsidR="005E75C1" w:rsidRDefault="005E75C1">
      <w:r>
        <w:separator/>
      </w:r>
    </w:p>
  </w:endnote>
  <w:endnote w:type="continuationSeparator" w:id="0">
    <w:p w14:paraId="7D15C717" w14:textId="77777777" w:rsidR="005E75C1" w:rsidRDefault="005E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7D24" w14:textId="77777777" w:rsidR="00690C78" w:rsidRDefault="00690C78" w:rsidP="00F36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DC3A4" w14:textId="77777777" w:rsidR="00690C78" w:rsidRDefault="00690C78" w:rsidP="00F368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13915" w14:textId="701427CF" w:rsidR="00690C78" w:rsidRPr="008A3A8B" w:rsidRDefault="00690C78" w:rsidP="008A3A8B">
    <w:pPr>
      <w:pStyle w:val="Footer"/>
      <w:jc w:val="right"/>
    </w:pPr>
    <w:r>
      <w:fldChar w:fldCharType="begin"/>
    </w:r>
    <w:r>
      <w:instrText xml:space="preserve"> PAGE   \* MERGEFORMAT </w:instrText>
    </w:r>
    <w:r>
      <w:fldChar w:fldCharType="separate"/>
    </w:r>
    <w:r w:rsidR="0082274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F8012" w14:textId="77777777" w:rsidR="005E75C1" w:rsidRDefault="005E75C1">
      <w:r>
        <w:separator/>
      </w:r>
    </w:p>
  </w:footnote>
  <w:footnote w:type="continuationSeparator" w:id="0">
    <w:p w14:paraId="65533138" w14:textId="77777777" w:rsidR="005E75C1" w:rsidRDefault="005E7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50"/>
      <w:gridCol w:w="1090"/>
    </w:tblGrid>
    <w:tr w:rsidR="00690C78" w:rsidRPr="00DE111B" w14:paraId="234ED0FE" w14:textId="77777777" w:rsidTr="00C64DEF">
      <w:trPr>
        <w:trHeight w:val="288"/>
      </w:trPr>
      <w:tc>
        <w:tcPr>
          <w:tcW w:w="7765" w:type="dxa"/>
        </w:tcPr>
        <w:p w14:paraId="10A299CB" w14:textId="5D7A8AFE" w:rsidR="00690C78" w:rsidRPr="00DE111B" w:rsidRDefault="00690C78" w:rsidP="00DE111B">
          <w:pPr>
            <w:pStyle w:val="Header"/>
            <w:jc w:val="right"/>
            <w:rPr>
              <w:b/>
            </w:rPr>
          </w:pPr>
          <w:r>
            <w:rPr>
              <w:b/>
            </w:rPr>
            <w:t>The Value of Libraries</w:t>
          </w:r>
          <w:r w:rsidRPr="00DE111B">
            <w:rPr>
              <w:b/>
            </w:rPr>
            <w:tab/>
          </w:r>
        </w:p>
      </w:tc>
      <w:tc>
        <w:tcPr>
          <w:tcW w:w="1105" w:type="dxa"/>
        </w:tcPr>
        <w:p w14:paraId="48F2BD23" w14:textId="4F53F335" w:rsidR="00690C78" w:rsidRPr="00DE111B" w:rsidRDefault="00690C78" w:rsidP="00C64DEF">
          <w:pPr>
            <w:pStyle w:val="Header"/>
            <w:rPr>
              <w:b/>
              <w:bCs/>
              <w:color w:val="4F81BD"/>
            </w:rPr>
          </w:pPr>
          <w:r>
            <w:rPr>
              <w:b/>
              <w:bCs/>
            </w:rPr>
            <w:t>2019</w:t>
          </w:r>
        </w:p>
      </w:tc>
    </w:tr>
  </w:tbl>
  <w:sdt>
    <w:sdtPr>
      <w:rPr>
        <w:b/>
      </w:rPr>
      <w:id w:val="766497290"/>
      <w:docPartObj>
        <w:docPartGallery w:val="Watermarks"/>
        <w:docPartUnique/>
      </w:docPartObj>
    </w:sdtPr>
    <w:sdtEndPr/>
    <w:sdtContent>
      <w:p w14:paraId="21B45B9E" w14:textId="2879FC66" w:rsidR="00690C78" w:rsidRPr="00A12EEE" w:rsidRDefault="005E75C1">
        <w:pPr>
          <w:pStyle w:val="Header"/>
          <w:rPr>
            <w:b/>
          </w:rPr>
        </w:pPr>
        <w:r>
          <w:rPr>
            <w:b/>
            <w:noProof/>
          </w:rPr>
          <w:pict w14:anchorId="64D94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80AA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4050A"/>
    <w:multiLevelType w:val="hybridMultilevel"/>
    <w:tmpl w:val="EE7E0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B51A2"/>
    <w:multiLevelType w:val="hybridMultilevel"/>
    <w:tmpl w:val="2EC48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6558C"/>
    <w:multiLevelType w:val="hybridMultilevel"/>
    <w:tmpl w:val="5114C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04585"/>
    <w:multiLevelType w:val="hybridMultilevel"/>
    <w:tmpl w:val="6D025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02F0C"/>
    <w:multiLevelType w:val="hybridMultilevel"/>
    <w:tmpl w:val="39249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E3184B"/>
    <w:multiLevelType w:val="hybridMultilevel"/>
    <w:tmpl w:val="1D280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F290A"/>
    <w:multiLevelType w:val="hybridMultilevel"/>
    <w:tmpl w:val="12964CA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217515"/>
    <w:multiLevelType w:val="hybridMultilevel"/>
    <w:tmpl w:val="06ECE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47171"/>
    <w:multiLevelType w:val="hybridMultilevel"/>
    <w:tmpl w:val="84CAD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13540B"/>
    <w:multiLevelType w:val="hybridMultilevel"/>
    <w:tmpl w:val="EEE46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6340F2"/>
    <w:multiLevelType w:val="hybridMultilevel"/>
    <w:tmpl w:val="1926053A"/>
    <w:lvl w:ilvl="0" w:tplc="712E534C">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D6563"/>
    <w:multiLevelType w:val="hybridMultilevel"/>
    <w:tmpl w:val="BF269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007520"/>
    <w:multiLevelType w:val="hybridMultilevel"/>
    <w:tmpl w:val="1ECCDC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067766"/>
    <w:multiLevelType w:val="hybridMultilevel"/>
    <w:tmpl w:val="B704AD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F97AC3"/>
    <w:multiLevelType w:val="hybridMultilevel"/>
    <w:tmpl w:val="B1C67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01209D"/>
    <w:multiLevelType w:val="hybridMultilevel"/>
    <w:tmpl w:val="C8C23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301776"/>
    <w:multiLevelType w:val="hybridMultilevel"/>
    <w:tmpl w:val="E9A4C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551C1D"/>
    <w:multiLevelType w:val="multilevel"/>
    <w:tmpl w:val="22DCD9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C9083E"/>
    <w:multiLevelType w:val="hybridMultilevel"/>
    <w:tmpl w:val="E9F63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257E3E"/>
    <w:multiLevelType w:val="hybridMultilevel"/>
    <w:tmpl w:val="ED128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503A48"/>
    <w:multiLevelType w:val="hybridMultilevel"/>
    <w:tmpl w:val="47F63CC0"/>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F20DCD"/>
    <w:multiLevelType w:val="hybridMultilevel"/>
    <w:tmpl w:val="E1DE9E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D4625D"/>
    <w:multiLevelType w:val="hybridMultilevel"/>
    <w:tmpl w:val="1C5AF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FE0431"/>
    <w:multiLevelType w:val="multilevel"/>
    <w:tmpl w:val="22DCD9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53442D"/>
    <w:multiLevelType w:val="hybridMultilevel"/>
    <w:tmpl w:val="583A1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E15A89"/>
    <w:multiLevelType w:val="hybridMultilevel"/>
    <w:tmpl w:val="F8B4B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2F4A17"/>
    <w:multiLevelType w:val="hybridMultilevel"/>
    <w:tmpl w:val="9568429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D94534"/>
    <w:multiLevelType w:val="hybridMultilevel"/>
    <w:tmpl w:val="2A566C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5928B5"/>
    <w:multiLevelType w:val="hybridMultilevel"/>
    <w:tmpl w:val="41165ABE"/>
    <w:lvl w:ilvl="0" w:tplc="33BE7FD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A511A4"/>
    <w:multiLevelType w:val="hybridMultilevel"/>
    <w:tmpl w:val="04440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815EFE"/>
    <w:multiLevelType w:val="hybridMultilevel"/>
    <w:tmpl w:val="47EA6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E543371"/>
    <w:multiLevelType w:val="hybridMultilevel"/>
    <w:tmpl w:val="22DCD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7"/>
  </w:num>
  <w:num w:numId="4">
    <w:abstractNumId w:val="6"/>
  </w:num>
  <w:num w:numId="5">
    <w:abstractNumId w:val="28"/>
  </w:num>
  <w:num w:numId="6">
    <w:abstractNumId w:val="14"/>
  </w:num>
  <w:num w:numId="7">
    <w:abstractNumId w:val="4"/>
  </w:num>
  <w:num w:numId="8">
    <w:abstractNumId w:val="22"/>
  </w:num>
  <w:num w:numId="9">
    <w:abstractNumId w:val="27"/>
  </w:num>
  <w:num w:numId="10">
    <w:abstractNumId w:val="11"/>
  </w:num>
  <w:num w:numId="11">
    <w:abstractNumId w:val="29"/>
  </w:num>
  <w:num w:numId="12">
    <w:abstractNumId w:val="24"/>
  </w:num>
  <w:num w:numId="13">
    <w:abstractNumId w:val="18"/>
  </w:num>
  <w:num w:numId="14">
    <w:abstractNumId w:val="16"/>
  </w:num>
  <w:num w:numId="15">
    <w:abstractNumId w:val="10"/>
  </w:num>
  <w:num w:numId="16">
    <w:abstractNumId w:val="19"/>
  </w:num>
  <w:num w:numId="17">
    <w:abstractNumId w:val="21"/>
  </w:num>
  <w:num w:numId="18">
    <w:abstractNumId w:val="0"/>
  </w:num>
  <w:num w:numId="19">
    <w:abstractNumId w:val="23"/>
  </w:num>
  <w:num w:numId="20">
    <w:abstractNumId w:val="3"/>
  </w:num>
  <w:num w:numId="21">
    <w:abstractNumId w:val="20"/>
  </w:num>
  <w:num w:numId="22">
    <w:abstractNumId w:val="2"/>
  </w:num>
  <w:num w:numId="23">
    <w:abstractNumId w:val="15"/>
  </w:num>
  <w:num w:numId="24">
    <w:abstractNumId w:val="30"/>
  </w:num>
  <w:num w:numId="25">
    <w:abstractNumId w:val="25"/>
  </w:num>
  <w:num w:numId="26">
    <w:abstractNumId w:val="1"/>
  </w:num>
  <w:num w:numId="27">
    <w:abstractNumId w:val="5"/>
  </w:num>
  <w:num w:numId="28">
    <w:abstractNumId w:val="9"/>
  </w:num>
  <w:num w:numId="29">
    <w:abstractNumId w:val="26"/>
  </w:num>
  <w:num w:numId="30">
    <w:abstractNumId w:val="12"/>
  </w:num>
  <w:num w:numId="31">
    <w:abstractNumId w:val="31"/>
  </w:num>
  <w:num w:numId="32">
    <w:abstractNumId w:val="1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B6A4A"/>
    <w:rsid w:val="00000019"/>
    <w:rsid w:val="00000A4B"/>
    <w:rsid w:val="000017AC"/>
    <w:rsid w:val="00002C8F"/>
    <w:rsid w:val="000044FA"/>
    <w:rsid w:val="00004CA1"/>
    <w:rsid w:val="000050DA"/>
    <w:rsid w:val="00005261"/>
    <w:rsid w:val="00007487"/>
    <w:rsid w:val="00010E13"/>
    <w:rsid w:val="00012DFD"/>
    <w:rsid w:val="00012FBE"/>
    <w:rsid w:val="00013F79"/>
    <w:rsid w:val="000147D3"/>
    <w:rsid w:val="0001480B"/>
    <w:rsid w:val="000152E3"/>
    <w:rsid w:val="00020EB4"/>
    <w:rsid w:val="0002314D"/>
    <w:rsid w:val="000237C6"/>
    <w:rsid w:val="0002546F"/>
    <w:rsid w:val="00025B61"/>
    <w:rsid w:val="000265E4"/>
    <w:rsid w:val="00027BAD"/>
    <w:rsid w:val="00031054"/>
    <w:rsid w:val="00031A7F"/>
    <w:rsid w:val="00037A8C"/>
    <w:rsid w:val="0004404D"/>
    <w:rsid w:val="0005028A"/>
    <w:rsid w:val="000504C3"/>
    <w:rsid w:val="000506D2"/>
    <w:rsid w:val="00051ABD"/>
    <w:rsid w:val="00052AE5"/>
    <w:rsid w:val="00053442"/>
    <w:rsid w:val="00053736"/>
    <w:rsid w:val="00056295"/>
    <w:rsid w:val="000572BB"/>
    <w:rsid w:val="00062BF8"/>
    <w:rsid w:val="00066FED"/>
    <w:rsid w:val="00072931"/>
    <w:rsid w:val="00074584"/>
    <w:rsid w:val="00076774"/>
    <w:rsid w:val="0007778E"/>
    <w:rsid w:val="00077DFF"/>
    <w:rsid w:val="000837E7"/>
    <w:rsid w:val="0008400E"/>
    <w:rsid w:val="000910DE"/>
    <w:rsid w:val="000A5595"/>
    <w:rsid w:val="000C0D86"/>
    <w:rsid w:val="000C1116"/>
    <w:rsid w:val="000C33CD"/>
    <w:rsid w:val="000C3939"/>
    <w:rsid w:val="000C4DC4"/>
    <w:rsid w:val="000D1419"/>
    <w:rsid w:val="000D7F85"/>
    <w:rsid w:val="000E1E18"/>
    <w:rsid w:val="000F4E24"/>
    <w:rsid w:val="000F7D9A"/>
    <w:rsid w:val="001017EE"/>
    <w:rsid w:val="0010290A"/>
    <w:rsid w:val="001041DB"/>
    <w:rsid w:val="001041F8"/>
    <w:rsid w:val="00104C14"/>
    <w:rsid w:val="00113E4C"/>
    <w:rsid w:val="00114737"/>
    <w:rsid w:val="0011498A"/>
    <w:rsid w:val="00116218"/>
    <w:rsid w:val="0012403E"/>
    <w:rsid w:val="00124ABF"/>
    <w:rsid w:val="001257A0"/>
    <w:rsid w:val="00125BDF"/>
    <w:rsid w:val="00125CC3"/>
    <w:rsid w:val="0013172A"/>
    <w:rsid w:val="0013617B"/>
    <w:rsid w:val="0015085C"/>
    <w:rsid w:val="0016079F"/>
    <w:rsid w:val="00160AF6"/>
    <w:rsid w:val="00161A48"/>
    <w:rsid w:val="0016201D"/>
    <w:rsid w:val="0016220E"/>
    <w:rsid w:val="00162F2E"/>
    <w:rsid w:val="00165A9E"/>
    <w:rsid w:val="00167EC5"/>
    <w:rsid w:val="00167F1E"/>
    <w:rsid w:val="00170D97"/>
    <w:rsid w:val="00175439"/>
    <w:rsid w:val="00176683"/>
    <w:rsid w:val="001868FA"/>
    <w:rsid w:val="00187E61"/>
    <w:rsid w:val="00190310"/>
    <w:rsid w:val="00194C3A"/>
    <w:rsid w:val="001971F5"/>
    <w:rsid w:val="00197ECF"/>
    <w:rsid w:val="001A2D7C"/>
    <w:rsid w:val="001A4CC5"/>
    <w:rsid w:val="001A6EFA"/>
    <w:rsid w:val="001B050C"/>
    <w:rsid w:val="001B3195"/>
    <w:rsid w:val="001B6934"/>
    <w:rsid w:val="001C0FC6"/>
    <w:rsid w:val="001C5B7F"/>
    <w:rsid w:val="001D5596"/>
    <w:rsid w:val="001D5AD7"/>
    <w:rsid w:val="001D62B3"/>
    <w:rsid w:val="001D7BFA"/>
    <w:rsid w:val="001E1724"/>
    <w:rsid w:val="001E3BF7"/>
    <w:rsid w:val="001E4CAC"/>
    <w:rsid w:val="001E5163"/>
    <w:rsid w:val="001E561E"/>
    <w:rsid w:val="001E6621"/>
    <w:rsid w:val="001F2C1C"/>
    <w:rsid w:val="001F3C96"/>
    <w:rsid w:val="001F6380"/>
    <w:rsid w:val="00202433"/>
    <w:rsid w:val="00204490"/>
    <w:rsid w:val="00205D8C"/>
    <w:rsid w:val="0020667C"/>
    <w:rsid w:val="00206994"/>
    <w:rsid w:val="002104D2"/>
    <w:rsid w:val="0021179A"/>
    <w:rsid w:val="00212A0E"/>
    <w:rsid w:val="00214090"/>
    <w:rsid w:val="00215DFB"/>
    <w:rsid w:val="00216219"/>
    <w:rsid w:val="00217F36"/>
    <w:rsid w:val="00220AC9"/>
    <w:rsid w:val="002225D6"/>
    <w:rsid w:val="00225E16"/>
    <w:rsid w:val="00233ADA"/>
    <w:rsid w:val="00235AE1"/>
    <w:rsid w:val="00240C88"/>
    <w:rsid w:val="00241979"/>
    <w:rsid w:val="00242544"/>
    <w:rsid w:val="00245C2D"/>
    <w:rsid w:val="00251DA9"/>
    <w:rsid w:val="00252946"/>
    <w:rsid w:val="00253AF3"/>
    <w:rsid w:val="00262AFE"/>
    <w:rsid w:val="00262D31"/>
    <w:rsid w:val="00264748"/>
    <w:rsid w:val="00264C4B"/>
    <w:rsid w:val="00265712"/>
    <w:rsid w:val="002761DA"/>
    <w:rsid w:val="00277671"/>
    <w:rsid w:val="00292343"/>
    <w:rsid w:val="00292660"/>
    <w:rsid w:val="00293D7B"/>
    <w:rsid w:val="00295E60"/>
    <w:rsid w:val="00297ED7"/>
    <w:rsid w:val="002A0238"/>
    <w:rsid w:val="002A16C3"/>
    <w:rsid w:val="002A1B46"/>
    <w:rsid w:val="002A43DF"/>
    <w:rsid w:val="002A4482"/>
    <w:rsid w:val="002A60F6"/>
    <w:rsid w:val="002A65E7"/>
    <w:rsid w:val="002B418E"/>
    <w:rsid w:val="002B4F16"/>
    <w:rsid w:val="002B613B"/>
    <w:rsid w:val="002C1D22"/>
    <w:rsid w:val="002C2E98"/>
    <w:rsid w:val="002D1181"/>
    <w:rsid w:val="002D51FE"/>
    <w:rsid w:val="002E4F08"/>
    <w:rsid w:val="002E63D4"/>
    <w:rsid w:val="002E7386"/>
    <w:rsid w:val="002F61E7"/>
    <w:rsid w:val="002F7F8D"/>
    <w:rsid w:val="002F7F99"/>
    <w:rsid w:val="00303C34"/>
    <w:rsid w:val="00304D13"/>
    <w:rsid w:val="003055E1"/>
    <w:rsid w:val="003123B0"/>
    <w:rsid w:val="00313DD9"/>
    <w:rsid w:val="00317E95"/>
    <w:rsid w:val="0032088A"/>
    <w:rsid w:val="00320C56"/>
    <w:rsid w:val="00321FCA"/>
    <w:rsid w:val="003223D6"/>
    <w:rsid w:val="00331F2D"/>
    <w:rsid w:val="00333047"/>
    <w:rsid w:val="00333304"/>
    <w:rsid w:val="00340806"/>
    <w:rsid w:val="00340890"/>
    <w:rsid w:val="0034127A"/>
    <w:rsid w:val="00341417"/>
    <w:rsid w:val="0034238A"/>
    <w:rsid w:val="0034584F"/>
    <w:rsid w:val="003458D8"/>
    <w:rsid w:val="00350096"/>
    <w:rsid w:val="00355588"/>
    <w:rsid w:val="00356E33"/>
    <w:rsid w:val="00360D94"/>
    <w:rsid w:val="00363098"/>
    <w:rsid w:val="003663A0"/>
    <w:rsid w:val="00366A57"/>
    <w:rsid w:val="00367B89"/>
    <w:rsid w:val="00371D0D"/>
    <w:rsid w:val="00374035"/>
    <w:rsid w:val="0037493A"/>
    <w:rsid w:val="0038093A"/>
    <w:rsid w:val="003813BB"/>
    <w:rsid w:val="00382613"/>
    <w:rsid w:val="003837EB"/>
    <w:rsid w:val="00387554"/>
    <w:rsid w:val="00391621"/>
    <w:rsid w:val="0039203E"/>
    <w:rsid w:val="003952BB"/>
    <w:rsid w:val="00396882"/>
    <w:rsid w:val="003A2358"/>
    <w:rsid w:val="003A7ACB"/>
    <w:rsid w:val="003B7C24"/>
    <w:rsid w:val="003C0309"/>
    <w:rsid w:val="003C0AEE"/>
    <w:rsid w:val="003C2E19"/>
    <w:rsid w:val="003C5931"/>
    <w:rsid w:val="003D222D"/>
    <w:rsid w:val="003D26F5"/>
    <w:rsid w:val="003E04A7"/>
    <w:rsid w:val="003F0F69"/>
    <w:rsid w:val="004006A4"/>
    <w:rsid w:val="00407E7B"/>
    <w:rsid w:val="004116FC"/>
    <w:rsid w:val="00414D71"/>
    <w:rsid w:val="00415F9D"/>
    <w:rsid w:val="00423BEE"/>
    <w:rsid w:val="00423C8D"/>
    <w:rsid w:val="00423CBD"/>
    <w:rsid w:val="00424087"/>
    <w:rsid w:val="0042448B"/>
    <w:rsid w:val="00426845"/>
    <w:rsid w:val="004278EF"/>
    <w:rsid w:val="00427C93"/>
    <w:rsid w:val="00433CFE"/>
    <w:rsid w:val="00434C2E"/>
    <w:rsid w:val="00435A69"/>
    <w:rsid w:val="0043620D"/>
    <w:rsid w:val="004442C8"/>
    <w:rsid w:val="004447F9"/>
    <w:rsid w:val="0044483C"/>
    <w:rsid w:val="00450147"/>
    <w:rsid w:val="00451500"/>
    <w:rsid w:val="004516A3"/>
    <w:rsid w:val="00451CF1"/>
    <w:rsid w:val="00453CCB"/>
    <w:rsid w:val="004568B7"/>
    <w:rsid w:val="0046200D"/>
    <w:rsid w:val="00462645"/>
    <w:rsid w:val="00464079"/>
    <w:rsid w:val="00465A5D"/>
    <w:rsid w:val="00467723"/>
    <w:rsid w:val="0046779A"/>
    <w:rsid w:val="004720D1"/>
    <w:rsid w:val="0047624A"/>
    <w:rsid w:val="00480A95"/>
    <w:rsid w:val="00480D4D"/>
    <w:rsid w:val="00484EFE"/>
    <w:rsid w:val="00485318"/>
    <w:rsid w:val="00485D7E"/>
    <w:rsid w:val="00493605"/>
    <w:rsid w:val="00495BB0"/>
    <w:rsid w:val="00495C5C"/>
    <w:rsid w:val="00496538"/>
    <w:rsid w:val="004977F1"/>
    <w:rsid w:val="00497F3F"/>
    <w:rsid w:val="004A31B1"/>
    <w:rsid w:val="004B3AE6"/>
    <w:rsid w:val="004C00B2"/>
    <w:rsid w:val="004C2E28"/>
    <w:rsid w:val="004C70FD"/>
    <w:rsid w:val="004D6FF7"/>
    <w:rsid w:val="004D7419"/>
    <w:rsid w:val="004E7059"/>
    <w:rsid w:val="004E7BC8"/>
    <w:rsid w:val="004F0174"/>
    <w:rsid w:val="004F4270"/>
    <w:rsid w:val="004F64AF"/>
    <w:rsid w:val="004F7F76"/>
    <w:rsid w:val="005017F7"/>
    <w:rsid w:val="0050694E"/>
    <w:rsid w:val="00514EC2"/>
    <w:rsid w:val="00520190"/>
    <w:rsid w:val="00521481"/>
    <w:rsid w:val="005218E1"/>
    <w:rsid w:val="00523E5D"/>
    <w:rsid w:val="00525CBE"/>
    <w:rsid w:val="00532E27"/>
    <w:rsid w:val="00533865"/>
    <w:rsid w:val="0053411D"/>
    <w:rsid w:val="00536599"/>
    <w:rsid w:val="00537499"/>
    <w:rsid w:val="00541009"/>
    <w:rsid w:val="005446D2"/>
    <w:rsid w:val="00551E8F"/>
    <w:rsid w:val="0055409A"/>
    <w:rsid w:val="005638A4"/>
    <w:rsid w:val="00565AD7"/>
    <w:rsid w:val="00567EC1"/>
    <w:rsid w:val="00570FC7"/>
    <w:rsid w:val="005714B6"/>
    <w:rsid w:val="00571EE7"/>
    <w:rsid w:val="00573068"/>
    <w:rsid w:val="00573CBE"/>
    <w:rsid w:val="005832CF"/>
    <w:rsid w:val="005838CE"/>
    <w:rsid w:val="00584C95"/>
    <w:rsid w:val="00584F72"/>
    <w:rsid w:val="005A4E55"/>
    <w:rsid w:val="005B2FA5"/>
    <w:rsid w:val="005B52BE"/>
    <w:rsid w:val="005B5BEB"/>
    <w:rsid w:val="005B6A4A"/>
    <w:rsid w:val="005C0325"/>
    <w:rsid w:val="005D7D81"/>
    <w:rsid w:val="005E0577"/>
    <w:rsid w:val="005E1DDD"/>
    <w:rsid w:val="005E2545"/>
    <w:rsid w:val="005E2A45"/>
    <w:rsid w:val="005E6434"/>
    <w:rsid w:val="005E75C1"/>
    <w:rsid w:val="005F00CB"/>
    <w:rsid w:val="005F2CF4"/>
    <w:rsid w:val="005F50D2"/>
    <w:rsid w:val="005F6C44"/>
    <w:rsid w:val="0060035E"/>
    <w:rsid w:val="00600A31"/>
    <w:rsid w:val="00603DC7"/>
    <w:rsid w:val="006048F6"/>
    <w:rsid w:val="00610987"/>
    <w:rsid w:val="006141FC"/>
    <w:rsid w:val="00614F30"/>
    <w:rsid w:val="00616DCE"/>
    <w:rsid w:val="00621459"/>
    <w:rsid w:val="006235DA"/>
    <w:rsid w:val="00636795"/>
    <w:rsid w:val="00640E36"/>
    <w:rsid w:val="0064634B"/>
    <w:rsid w:val="00647CD4"/>
    <w:rsid w:val="0065078E"/>
    <w:rsid w:val="006517CE"/>
    <w:rsid w:val="00652BD1"/>
    <w:rsid w:val="006562A7"/>
    <w:rsid w:val="0065666E"/>
    <w:rsid w:val="00656AB6"/>
    <w:rsid w:val="006616FE"/>
    <w:rsid w:val="00663160"/>
    <w:rsid w:val="00667E75"/>
    <w:rsid w:val="00671565"/>
    <w:rsid w:val="00671AB8"/>
    <w:rsid w:val="00672859"/>
    <w:rsid w:val="00674702"/>
    <w:rsid w:val="00676BB2"/>
    <w:rsid w:val="00681309"/>
    <w:rsid w:val="00681940"/>
    <w:rsid w:val="006827F1"/>
    <w:rsid w:val="00686612"/>
    <w:rsid w:val="00690C78"/>
    <w:rsid w:val="00694147"/>
    <w:rsid w:val="00697011"/>
    <w:rsid w:val="006B3957"/>
    <w:rsid w:val="006B3F60"/>
    <w:rsid w:val="006B5DF4"/>
    <w:rsid w:val="006B6106"/>
    <w:rsid w:val="006C74A8"/>
    <w:rsid w:val="006D4D62"/>
    <w:rsid w:val="006D78F7"/>
    <w:rsid w:val="006E02FD"/>
    <w:rsid w:val="006E2864"/>
    <w:rsid w:val="006E397C"/>
    <w:rsid w:val="006F3AB7"/>
    <w:rsid w:val="006F7037"/>
    <w:rsid w:val="00714F5D"/>
    <w:rsid w:val="007175E7"/>
    <w:rsid w:val="00717D3B"/>
    <w:rsid w:val="00722C43"/>
    <w:rsid w:val="007324A3"/>
    <w:rsid w:val="00732844"/>
    <w:rsid w:val="00733607"/>
    <w:rsid w:val="007350B3"/>
    <w:rsid w:val="00737562"/>
    <w:rsid w:val="00744F2F"/>
    <w:rsid w:val="0075242A"/>
    <w:rsid w:val="00755D71"/>
    <w:rsid w:val="00762A91"/>
    <w:rsid w:val="0076350D"/>
    <w:rsid w:val="007637F7"/>
    <w:rsid w:val="00764D17"/>
    <w:rsid w:val="00766981"/>
    <w:rsid w:val="00775BE1"/>
    <w:rsid w:val="0077669D"/>
    <w:rsid w:val="00786985"/>
    <w:rsid w:val="00786B5C"/>
    <w:rsid w:val="00786DDC"/>
    <w:rsid w:val="00787FDF"/>
    <w:rsid w:val="00796F2A"/>
    <w:rsid w:val="00797073"/>
    <w:rsid w:val="007A0C8C"/>
    <w:rsid w:val="007A2C41"/>
    <w:rsid w:val="007A607A"/>
    <w:rsid w:val="007B0151"/>
    <w:rsid w:val="007C0416"/>
    <w:rsid w:val="007C28FD"/>
    <w:rsid w:val="007C4B9A"/>
    <w:rsid w:val="007C4BD8"/>
    <w:rsid w:val="007C5E65"/>
    <w:rsid w:val="007C71A1"/>
    <w:rsid w:val="007C7A5F"/>
    <w:rsid w:val="007D1EEB"/>
    <w:rsid w:val="007D3731"/>
    <w:rsid w:val="007D5D44"/>
    <w:rsid w:val="007E268D"/>
    <w:rsid w:val="007E5EEB"/>
    <w:rsid w:val="007F0AA3"/>
    <w:rsid w:val="007F1CD2"/>
    <w:rsid w:val="007F2415"/>
    <w:rsid w:val="007F344B"/>
    <w:rsid w:val="008022AF"/>
    <w:rsid w:val="00803897"/>
    <w:rsid w:val="00804E04"/>
    <w:rsid w:val="00810831"/>
    <w:rsid w:val="00811E5D"/>
    <w:rsid w:val="00814C4C"/>
    <w:rsid w:val="00821672"/>
    <w:rsid w:val="008217C0"/>
    <w:rsid w:val="0082274E"/>
    <w:rsid w:val="00823F7C"/>
    <w:rsid w:val="00825D69"/>
    <w:rsid w:val="008308B9"/>
    <w:rsid w:val="00830E95"/>
    <w:rsid w:val="00830F78"/>
    <w:rsid w:val="00840005"/>
    <w:rsid w:val="00842E5D"/>
    <w:rsid w:val="00842F89"/>
    <w:rsid w:val="00854095"/>
    <w:rsid w:val="00854D66"/>
    <w:rsid w:val="00856C79"/>
    <w:rsid w:val="00856C81"/>
    <w:rsid w:val="00861B2E"/>
    <w:rsid w:val="008639D9"/>
    <w:rsid w:val="00870517"/>
    <w:rsid w:val="00874172"/>
    <w:rsid w:val="0087737A"/>
    <w:rsid w:val="00880E10"/>
    <w:rsid w:val="00884D8A"/>
    <w:rsid w:val="00885CCC"/>
    <w:rsid w:val="00885D7E"/>
    <w:rsid w:val="00887557"/>
    <w:rsid w:val="00887EA6"/>
    <w:rsid w:val="00890DF9"/>
    <w:rsid w:val="00893CE7"/>
    <w:rsid w:val="008978C1"/>
    <w:rsid w:val="008A1E17"/>
    <w:rsid w:val="008A3A8B"/>
    <w:rsid w:val="008A6843"/>
    <w:rsid w:val="008B051C"/>
    <w:rsid w:val="008B3C37"/>
    <w:rsid w:val="008B6153"/>
    <w:rsid w:val="008C18C7"/>
    <w:rsid w:val="008C3329"/>
    <w:rsid w:val="008C65D5"/>
    <w:rsid w:val="008D021F"/>
    <w:rsid w:val="008D13CB"/>
    <w:rsid w:val="008D19A6"/>
    <w:rsid w:val="008D3FB5"/>
    <w:rsid w:val="008E1584"/>
    <w:rsid w:val="008E65AF"/>
    <w:rsid w:val="008E7F08"/>
    <w:rsid w:val="008F0245"/>
    <w:rsid w:val="008F1005"/>
    <w:rsid w:val="008F38AB"/>
    <w:rsid w:val="00900A10"/>
    <w:rsid w:val="0090335B"/>
    <w:rsid w:val="00903431"/>
    <w:rsid w:val="00907347"/>
    <w:rsid w:val="00907D30"/>
    <w:rsid w:val="00910EF7"/>
    <w:rsid w:val="00914ED3"/>
    <w:rsid w:val="0093535A"/>
    <w:rsid w:val="00950C97"/>
    <w:rsid w:val="00951D50"/>
    <w:rsid w:val="009523FD"/>
    <w:rsid w:val="00952628"/>
    <w:rsid w:val="009539A1"/>
    <w:rsid w:val="00956108"/>
    <w:rsid w:val="00956671"/>
    <w:rsid w:val="00961C04"/>
    <w:rsid w:val="00967CD0"/>
    <w:rsid w:val="0097121E"/>
    <w:rsid w:val="00977A9B"/>
    <w:rsid w:val="00980DFA"/>
    <w:rsid w:val="00984865"/>
    <w:rsid w:val="00985CC3"/>
    <w:rsid w:val="00992AEC"/>
    <w:rsid w:val="00993F4D"/>
    <w:rsid w:val="00997F7A"/>
    <w:rsid w:val="009A2CB7"/>
    <w:rsid w:val="009A5111"/>
    <w:rsid w:val="009A5A2C"/>
    <w:rsid w:val="009B013F"/>
    <w:rsid w:val="009B3E7C"/>
    <w:rsid w:val="009B3EBF"/>
    <w:rsid w:val="009B4475"/>
    <w:rsid w:val="009B4E87"/>
    <w:rsid w:val="009C1C8D"/>
    <w:rsid w:val="009C3E51"/>
    <w:rsid w:val="009C3F4A"/>
    <w:rsid w:val="009C5528"/>
    <w:rsid w:val="009D23F5"/>
    <w:rsid w:val="009D65D5"/>
    <w:rsid w:val="009D70DA"/>
    <w:rsid w:val="009E2561"/>
    <w:rsid w:val="009E40D2"/>
    <w:rsid w:val="009E69FD"/>
    <w:rsid w:val="009F0A90"/>
    <w:rsid w:val="009F1B4B"/>
    <w:rsid w:val="009F5B5A"/>
    <w:rsid w:val="009F7DC9"/>
    <w:rsid w:val="00A004DF"/>
    <w:rsid w:val="00A01E69"/>
    <w:rsid w:val="00A10484"/>
    <w:rsid w:val="00A12CD4"/>
    <w:rsid w:val="00A12EEE"/>
    <w:rsid w:val="00A20FFE"/>
    <w:rsid w:val="00A217C2"/>
    <w:rsid w:val="00A2210B"/>
    <w:rsid w:val="00A22807"/>
    <w:rsid w:val="00A22FE1"/>
    <w:rsid w:val="00A2356B"/>
    <w:rsid w:val="00A239F3"/>
    <w:rsid w:val="00A23F03"/>
    <w:rsid w:val="00A2548F"/>
    <w:rsid w:val="00A2648E"/>
    <w:rsid w:val="00A279A0"/>
    <w:rsid w:val="00A3033F"/>
    <w:rsid w:val="00A313B7"/>
    <w:rsid w:val="00A36E97"/>
    <w:rsid w:val="00A417A3"/>
    <w:rsid w:val="00A44064"/>
    <w:rsid w:val="00A449CE"/>
    <w:rsid w:val="00A46765"/>
    <w:rsid w:val="00A46B78"/>
    <w:rsid w:val="00A56F64"/>
    <w:rsid w:val="00A63C83"/>
    <w:rsid w:val="00A64A07"/>
    <w:rsid w:val="00A6666A"/>
    <w:rsid w:val="00A66F39"/>
    <w:rsid w:val="00A836FD"/>
    <w:rsid w:val="00A84447"/>
    <w:rsid w:val="00A858CC"/>
    <w:rsid w:val="00A876F3"/>
    <w:rsid w:val="00A90B0C"/>
    <w:rsid w:val="00A91041"/>
    <w:rsid w:val="00A957A5"/>
    <w:rsid w:val="00A963CA"/>
    <w:rsid w:val="00A968CA"/>
    <w:rsid w:val="00A96B63"/>
    <w:rsid w:val="00AA1B24"/>
    <w:rsid w:val="00AA2358"/>
    <w:rsid w:val="00AA32FA"/>
    <w:rsid w:val="00AA5044"/>
    <w:rsid w:val="00AA58EE"/>
    <w:rsid w:val="00AA59F0"/>
    <w:rsid w:val="00AB2933"/>
    <w:rsid w:val="00AC1EB5"/>
    <w:rsid w:val="00AC21D3"/>
    <w:rsid w:val="00AC3BCE"/>
    <w:rsid w:val="00AC4CA5"/>
    <w:rsid w:val="00AC7CD5"/>
    <w:rsid w:val="00AD1AD2"/>
    <w:rsid w:val="00AE1361"/>
    <w:rsid w:val="00AE4CD1"/>
    <w:rsid w:val="00AE685F"/>
    <w:rsid w:val="00AF07B8"/>
    <w:rsid w:val="00AF188E"/>
    <w:rsid w:val="00AF2983"/>
    <w:rsid w:val="00AF57B9"/>
    <w:rsid w:val="00AF6F8E"/>
    <w:rsid w:val="00B040E6"/>
    <w:rsid w:val="00B0488B"/>
    <w:rsid w:val="00B05A1D"/>
    <w:rsid w:val="00B05E44"/>
    <w:rsid w:val="00B10284"/>
    <w:rsid w:val="00B1209A"/>
    <w:rsid w:val="00B13C29"/>
    <w:rsid w:val="00B14D2B"/>
    <w:rsid w:val="00B14D8D"/>
    <w:rsid w:val="00B155FF"/>
    <w:rsid w:val="00B15F7C"/>
    <w:rsid w:val="00B163FA"/>
    <w:rsid w:val="00B20AEC"/>
    <w:rsid w:val="00B20DF2"/>
    <w:rsid w:val="00B21086"/>
    <w:rsid w:val="00B213DA"/>
    <w:rsid w:val="00B21F0A"/>
    <w:rsid w:val="00B236FB"/>
    <w:rsid w:val="00B26C50"/>
    <w:rsid w:val="00B27274"/>
    <w:rsid w:val="00B40052"/>
    <w:rsid w:val="00B434A1"/>
    <w:rsid w:val="00B45133"/>
    <w:rsid w:val="00B45935"/>
    <w:rsid w:val="00B51177"/>
    <w:rsid w:val="00B51920"/>
    <w:rsid w:val="00B60722"/>
    <w:rsid w:val="00B6147D"/>
    <w:rsid w:val="00B61F34"/>
    <w:rsid w:val="00B61FE2"/>
    <w:rsid w:val="00B67C0E"/>
    <w:rsid w:val="00B7416E"/>
    <w:rsid w:val="00B74F1A"/>
    <w:rsid w:val="00B76396"/>
    <w:rsid w:val="00B80CB0"/>
    <w:rsid w:val="00B80FB5"/>
    <w:rsid w:val="00B81C70"/>
    <w:rsid w:val="00B839A9"/>
    <w:rsid w:val="00B8527F"/>
    <w:rsid w:val="00B92E64"/>
    <w:rsid w:val="00B944B8"/>
    <w:rsid w:val="00B9535A"/>
    <w:rsid w:val="00B9576D"/>
    <w:rsid w:val="00BA2CFF"/>
    <w:rsid w:val="00BA59B0"/>
    <w:rsid w:val="00BA6175"/>
    <w:rsid w:val="00BA63E5"/>
    <w:rsid w:val="00BA7334"/>
    <w:rsid w:val="00BB41FA"/>
    <w:rsid w:val="00BB44F4"/>
    <w:rsid w:val="00BB55BF"/>
    <w:rsid w:val="00BC5B35"/>
    <w:rsid w:val="00BC6086"/>
    <w:rsid w:val="00BE1C93"/>
    <w:rsid w:val="00BE29B4"/>
    <w:rsid w:val="00BE301B"/>
    <w:rsid w:val="00BE3059"/>
    <w:rsid w:val="00BE412A"/>
    <w:rsid w:val="00BF1060"/>
    <w:rsid w:val="00BF3063"/>
    <w:rsid w:val="00C013BD"/>
    <w:rsid w:val="00C04F0D"/>
    <w:rsid w:val="00C056DF"/>
    <w:rsid w:val="00C05F8B"/>
    <w:rsid w:val="00C073E5"/>
    <w:rsid w:val="00C13EAD"/>
    <w:rsid w:val="00C1753E"/>
    <w:rsid w:val="00C17CDD"/>
    <w:rsid w:val="00C22CB7"/>
    <w:rsid w:val="00C23543"/>
    <w:rsid w:val="00C2744A"/>
    <w:rsid w:val="00C313E7"/>
    <w:rsid w:val="00C410CB"/>
    <w:rsid w:val="00C46964"/>
    <w:rsid w:val="00C46DC1"/>
    <w:rsid w:val="00C47AC3"/>
    <w:rsid w:val="00C50F93"/>
    <w:rsid w:val="00C5392D"/>
    <w:rsid w:val="00C5456A"/>
    <w:rsid w:val="00C5650D"/>
    <w:rsid w:val="00C56FF5"/>
    <w:rsid w:val="00C57198"/>
    <w:rsid w:val="00C57846"/>
    <w:rsid w:val="00C6007B"/>
    <w:rsid w:val="00C600D2"/>
    <w:rsid w:val="00C64DEF"/>
    <w:rsid w:val="00C70E95"/>
    <w:rsid w:val="00C71110"/>
    <w:rsid w:val="00C74C49"/>
    <w:rsid w:val="00C74C63"/>
    <w:rsid w:val="00C750E6"/>
    <w:rsid w:val="00C81700"/>
    <w:rsid w:val="00C842EC"/>
    <w:rsid w:val="00C86B4A"/>
    <w:rsid w:val="00C87FB4"/>
    <w:rsid w:val="00C94364"/>
    <w:rsid w:val="00C94EB8"/>
    <w:rsid w:val="00CA1C2C"/>
    <w:rsid w:val="00CA2703"/>
    <w:rsid w:val="00CA56AA"/>
    <w:rsid w:val="00CA5BCB"/>
    <w:rsid w:val="00CA666D"/>
    <w:rsid w:val="00CA6840"/>
    <w:rsid w:val="00CA701A"/>
    <w:rsid w:val="00CA7A94"/>
    <w:rsid w:val="00CC0A5F"/>
    <w:rsid w:val="00CC21D7"/>
    <w:rsid w:val="00CC368E"/>
    <w:rsid w:val="00CC3A7A"/>
    <w:rsid w:val="00CC58EA"/>
    <w:rsid w:val="00CD012A"/>
    <w:rsid w:val="00CD38E8"/>
    <w:rsid w:val="00CD708B"/>
    <w:rsid w:val="00CD7E44"/>
    <w:rsid w:val="00CE09EB"/>
    <w:rsid w:val="00CE697C"/>
    <w:rsid w:val="00CF3B72"/>
    <w:rsid w:val="00CF4D66"/>
    <w:rsid w:val="00CF6F84"/>
    <w:rsid w:val="00D01426"/>
    <w:rsid w:val="00D03771"/>
    <w:rsid w:val="00D07194"/>
    <w:rsid w:val="00D075CD"/>
    <w:rsid w:val="00D135B0"/>
    <w:rsid w:val="00D13C58"/>
    <w:rsid w:val="00D14274"/>
    <w:rsid w:val="00D17595"/>
    <w:rsid w:val="00D21331"/>
    <w:rsid w:val="00D235C2"/>
    <w:rsid w:val="00D23F1D"/>
    <w:rsid w:val="00D255F5"/>
    <w:rsid w:val="00D27C34"/>
    <w:rsid w:val="00D3068C"/>
    <w:rsid w:val="00D30C3A"/>
    <w:rsid w:val="00D33C69"/>
    <w:rsid w:val="00D42FEF"/>
    <w:rsid w:val="00D5063B"/>
    <w:rsid w:val="00D50D4C"/>
    <w:rsid w:val="00D5159D"/>
    <w:rsid w:val="00D51D21"/>
    <w:rsid w:val="00D52D28"/>
    <w:rsid w:val="00D53772"/>
    <w:rsid w:val="00D55967"/>
    <w:rsid w:val="00D64D51"/>
    <w:rsid w:val="00D66078"/>
    <w:rsid w:val="00D6732C"/>
    <w:rsid w:val="00D71828"/>
    <w:rsid w:val="00D718F2"/>
    <w:rsid w:val="00D7266E"/>
    <w:rsid w:val="00D74E28"/>
    <w:rsid w:val="00D7642C"/>
    <w:rsid w:val="00D77270"/>
    <w:rsid w:val="00D819B1"/>
    <w:rsid w:val="00D83F5E"/>
    <w:rsid w:val="00D84E96"/>
    <w:rsid w:val="00D86864"/>
    <w:rsid w:val="00D869A5"/>
    <w:rsid w:val="00D9020A"/>
    <w:rsid w:val="00D90E87"/>
    <w:rsid w:val="00D9556C"/>
    <w:rsid w:val="00DA1DF1"/>
    <w:rsid w:val="00DA52BD"/>
    <w:rsid w:val="00DA7727"/>
    <w:rsid w:val="00DC3ADD"/>
    <w:rsid w:val="00DC4D1A"/>
    <w:rsid w:val="00DC7B23"/>
    <w:rsid w:val="00DD2FA3"/>
    <w:rsid w:val="00DD7E65"/>
    <w:rsid w:val="00DE111B"/>
    <w:rsid w:val="00DE38A0"/>
    <w:rsid w:val="00DE6450"/>
    <w:rsid w:val="00DE6B81"/>
    <w:rsid w:val="00DF1E8A"/>
    <w:rsid w:val="00DF2551"/>
    <w:rsid w:val="00E01BF5"/>
    <w:rsid w:val="00E01F59"/>
    <w:rsid w:val="00E05398"/>
    <w:rsid w:val="00E1322B"/>
    <w:rsid w:val="00E13416"/>
    <w:rsid w:val="00E13AFD"/>
    <w:rsid w:val="00E1526F"/>
    <w:rsid w:val="00E20E64"/>
    <w:rsid w:val="00E2114D"/>
    <w:rsid w:val="00E21AAD"/>
    <w:rsid w:val="00E220F9"/>
    <w:rsid w:val="00E2503E"/>
    <w:rsid w:val="00E26BDA"/>
    <w:rsid w:val="00E310A8"/>
    <w:rsid w:val="00E46321"/>
    <w:rsid w:val="00E51950"/>
    <w:rsid w:val="00E5436B"/>
    <w:rsid w:val="00E56796"/>
    <w:rsid w:val="00E62C2C"/>
    <w:rsid w:val="00E654F1"/>
    <w:rsid w:val="00E67203"/>
    <w:rsid w:val="00E67D14"/>
    <w:rsid w:val="00E7299F"/>
    <w:rsid w:val="00E731A6"/>
    <w:rsid w:val="00E73552"/>
    <w:rsid w:val="00E85492"/>
    <w:rsid w:val="00E86E5F"/>
    <w:rsid w:val="00E9095C"/>
    <w:rsid w:val="00E9167F"/>
    <w:rsid w:val="00E93697"/>
    <w:rsid w:val="00E97640"/>
    <w:rsid w:val="00EA1EEE"/>
    <w:rsid w:val="00EA31E4"/>
    <w:rsid w:val="00EB1BD8"/>
    <w:rsid w:val="00EB350C"/>
    <w:rsid w:val="00EB7F5F"/>
    <w:rsid w:val="00EC183F"/>
    <w:rsid w:val="00EC2449"/>
    <w:rsid w:val="00EC2986"/>
    <w:rsid w:val="00EC2DC3"/>
    <w:rsid w:val="00EC687C"/>
    <w:rsid w:val="00EC7789"/>
    <w:rsid w:val="00EC7837"/>
    <w:rsid w:val="00ED7256"/>
    <w:rsid w:val="00ED72DC"/>
    <w:rsid w:val="00EE3065"/>
    <w:rsid w:val="00EE3CF2"/>
    <w:rsid w:val="00EE3D6E"/>
    <w:rsid w:val="00EF7227"/>
    <w:rsid w:val="00F05620"/>
    <w:rsid w:val="00F05A95"/>
    <w:rsid w:val="00F15F74"/>
    <w:rsid w:val="00F2110D"/>
    <w:rsid w:val="00F2354B"/>
    <w:rsid w:val="00F23A6B"/>
    <w:rsid w:val="00F30517"/>
    <w:rsid w:val="00F30580"/>
    <w:rsid w:val="00F33B78"/>
    <w:rsid w:val="00F34563"/>
    <w:rsid w:val="00F36739"/>
    <w:rsid w:val="00F368D2"/>
    <w:rsid w:val="00F41194"/>
    <w:rsid w:val="00F455C8"/>
    <w:rsid w:val="00F45873"/>
    <w:rsid w:val="00F61CCD"/>
    <w:rsid w:val="00F6210E"/>
    <w:rsid w:val="00F633E8"/>
    <w:rsid w:val="00F74135"/>
    <w:rsid w:val="00F81DCD"/>
    <w:rsid w:val="00F82617"/>
    <w:rsid w:val="00F827A6"/>
    <w:rsid w:val="00F8309F"/>
    <w:rsid w:val="00F840A1"/>
    <w:rsid w:val="00F84589"/>
    <w:rsid w:val="00F852F5"/>
    <w:rsid w:val="00F862B3"/>
    <w:rsid w:val="00F90E72"/>
    <w:rsid w:val="00F924D1"/>
    <w:rsid w:val="00F94179"/>
    <w:rsid w:val="00FA22F8"/>
    <w:rsid w:val="00FA37BE"/>
    <w:rsid w:val="00FA48AF"/>
    <w:rsid w:val="00FA7F86"/>
    <w:rsid w:val="00FB0483"/>
    <w:rsid w:val="00FB06A1"/>
    <w:rsid w:val="00FB2115"/>
    <w:rsid w:val="00FB2FA1"/>
    <w:rsid w:val="00FB3D69"/>
    <w:rsid w:val="00FB5088"/>
    <w:rsid w:val="00FB7AA2"/>
    <w:rsid w:val="00FC0573"/>
    <w:rsid w:val="00FC32A7"/>
    <w:rsid w:val="00FC58EC"/>
    <w:rsid w:val="00FC7B8F"/>
    <w:rsid w:val="00FD045F"/>
    <w:rsid w:val="00FD0A00"/>
    <w:rsid w:val="00FD6E6C"/>
    <w:rsid w:val="00FD71BA"/>
    <w:rsid w:val="00FE02B3"/>
    <w:rsid w:val="00FE460E"/>
    <w:rsid w:val="00FE57FD"/>
    <w:rsid w:val="00FE653A"/>
    <w:rsid w:val="00FE7853"/>
    <w:rsid w:val="00FF4ACB"/>
    <w:rsid w:val="00FF6E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21F0CA"/>
  <w15:docId w15:val="{175829E7-152E-496B-8A34-5E681D6E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A4A"/>
    <w:rPr>
      <w:rFonts w:ascii="Times New Roman" w:eastAsia="Times New Roman" w:hAnsi="Times New Roman"/>
      <w:sz w:val="24"/>
      <w:szCs w:val="24"/>
      <w:lang w:val="en-US"/>
    </w:rPr>
  </w:style>
  <w:style w:type="paragraph" w:styleId="Heading2">
    <w:name w:val="heading 2"/>
    <w:basedOn w:val="Normal"/>
    <w:next w:val="Normal"/>
    <w:link w:val="Heading2Char"/>
    <w:qFormat/>
    <w:rsid w:val="005B6A4A"/>
    <w:pPr>
      <w:keepNext/>
      <w:outlineLvl w:val="1"/>
    </w:pPr>
    <w:rPr>
      <w:rFonts w:ascii="Garamond" w:hAnsi="Garamond" w:cs="Arial"/>
      <w:b/>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B6A4A"/>
    <w:rPr>
      <w:rFonts w:ascii="Garamond" w:eastAsia="Times New Roman" w:hAnsi="Garamond" w:cs="Arial"/>
      <w:b/>
      <w:sz w:val="26"/>
      <w:szCs w:val="26"/>
    </w:rPr>
  </w:style>
  <w:style w:type="paragraph" w:styleId="Footer">
    <w:name w:val="footer"/>
    <w:basedOn w:val="Normal"/>
    <w:link w:val="FooterChar"/>
    <w:uiPriority w:val="99"/>
    <w:rsid w:val="005B6A4A"/>
    <w:pPr>
      <w:tabs>
        <w:tab w:val="center" w:pos="4320"/>
        <w:tab w:val="right" w:pos="8640"/>
      </w:tabs>
    </w:pPr>
  </w:style>
  <w:style w:type="character" w:customStyle="1" w:styleId="FooterChar">
    <w:name w:val="Footer Char"/>
    <w:link w:val="Footer"/>
    <w:uiPriority w:val="99"/>
    <w:rsid w:val="005B6A4A"/>
    <w:rPr>
      <w:rFonts w:ascii="Times New Roman" w:eastAsia="Times New Roman" w:hAnsi="Times New Roman" w:cs="Times New Roman"/>
      <w:sz w:val="24"/>
      <w:szCs w:val="24"/>
      <w:lang w:val="en-US"/>
    </w:rPr>
  </w:style>
  <w:style w:type="character" w:styleId="PageNumber">
    <w:name w:val="page number"/>
    <w:rsid w:val="005B6A4A"/>
  </w:style>
  <w:style w:type="character" w:styleId="Hyperlink">
    <w:name w:val="Hyperlink"/>
    <w:rsid w:val="005B6A4A"/>
    <w:rPr>
      <w:color w:val="0000FF"/>
      <w:u w:val="single"/>
    </w:rPr>
  </w:style>
  <w:style w:type="paragraph" w:styleId="EndnoteText">
    <w:name w:val="endnote text"/>
    <w:basedOn w:val="Normal"/>
    <w:link w:val="EndnoteTextChar"/>
    <w:semiHidden/>
    <w:rsid w:val="005B6A4A"/>
    <w:rPr>
      <w:sz w:val="20"/>
      <w:szCs w:val="20"/>
    </w:rPr>
  </w:style>
  <w:style w:type="character" w:customStyle="1" w:styleId="EndnoteTextChar">
    <w:name w:val="Endnote Text Char"/>
    <w:link w:val="EndnoteText"/>
    <w:semiHidden/>
    <w:rsid w:val="005B6A4A"/>
    <w:rPr>
      <w:rFonts w:ascii="Times New Roman" w:eastAsia="Times New Roman" w:hAnsi="Times New Roman" w:cs="Times New Roman"/>
      <w:sz w:val="20"/>
      <w:szCs w:val="20"/>
      <w:lang w:val="en-US"/>
    </w:rPr>
  </w:style>
  <w:style w:type="character" w:styleId="EndnoteReference">
    <w:name w:val="endnote reference"/>
    <w:semiHidden/>
    <w:rsid w:val="005B6A4A"/>
    <w:rPr>
      <w:vertAlign w:val="superscript"/>
    </w:rPr>
  </w:style>
  <w:style w:type="table" w:styleId="TableGrid">
    <w:name w:val="Table Grid"/>
    <w:basedOn w:val="TableNormal"/>
    <w:rsid w:val="005B6A4A"/>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5B6A4A"/>
    <w:rPr>
      <w:sz w:val="20"/>
      <w:szCs w:val="20"/>
    </w:rPr>
  </w:style>
  <w:style w:type="character" w:customStyle="1" w:styleId="FootnoteTextChar">
    <w:name w:val="Footnote Text Char"/>
    <w:link w:val="FootnoteText"/>
    <w:uiPriority w:val="99"/>
    <w:semiHidden/>
    <w:rsid w:val="005B6A4A"/>
    <w:rPr>
      <w:rFonts w:ascii="Times New Roman" w:eastAsia="Times New Roman" w:hAnsi="Times New Roman" w:cs="Times New Roman"/>
      <w:sz w:val="20"/>
      <w:szCs w:val="20"/>
      <w:lang w:val="en-US"/>
    </w:rPr>
  </w:style>
  <w:style w:type="character" w:styleId="FootnoteReference">
    <w:name w:val="footnote reference"/>
    <w:uiPriority w:val="99"/>
    <w:semiHidden/>
    <w:rsid w:val="005B6A4A"/>
    <w:rPr>
      <w:vertAlign w:val="superscript"/>
    </w:rPr>
  </w:style>
  <w:style w:type="paragraph" w:styleId="Header">
    <w:name w:val="header"/>
    <w:basedOn w:val="Normal"/>
    <w:link w:val="HeaderChar"/>
    <w:uiPriority w:val="99"/>
    <w:rsid w:val="005B6A4A"/>
    <w:pPr>
      <w:tabs>
        <w:tab w:val="center" w:pos="4153"/>
        <w:tab w:val="right" w:pos="8306"/>
      </w:tabs>
    </w:pPr>
  </w:style>
  <w:style w:type="character" w:customStyle="1" w:styleId="HeaderChar">
    <w:name w:val="Header Char"/>
    <w:link w:val="Header"/>
    <w:uiPriority w:val="99"/>
    <w:rsid w:val="005B6A4A"/>
    <w:rPr>
      <w:rFonts w:ascii="Times New Roman" w:eastAsia="Times New Roman" w:hAnsi="Times New Roman" w:cs="Times New Roman"/>
      <w:sz w:val="24"/>
      <w:szCs w:val="24"/>
      <w:lang w:val="en-US"/>
    </w:rPr>
  </w:style>
  <w:style w:type="paragraph" w:customStyle="1" w:styleId="EndNoteBibliographyTitle">
    <w:name w:val="EndNote Bibliography Title"/>
    <w:basedOn w:val="Normal"/>
    <w:link w:val="EndNoteBibliographyTitleChar"/>
    <w:rsid w:val="005B6A4A"/>
    <w:pPr>
      <w:jc w:val="center"/>
    </w:pPr>
    <w:rPr>
      <w:noProof/>
    </w:rPr>
  </w:style>
  <w:style w:type="character" w:customStyle="1" w:styleId="EndNoteBibliographyTitleChar">
    <w:name w:val="EndNote Bibliography Title Char"/>
    <w:link w:val="EndNoteBibliographyTitle"/>
    <w:rsid w:val="005B6A4A"/>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5B6A4A"/>
    <w:rPr>
      <w:noProof/>
    </w:rPr>
  </w:style>
  <w:style w:type="character" w:customStyle="1" w:styleId="EndNoteBibliographyChar">
    <w:name w:val="EndNote Bibliography Char"/>
    <w:link w:val="EndNoteBibliography"/>
    <w:rsid w:val="005B6A4A"/>
    <w:rPr>
      <w:rFonts w:ascii="Times New Roman" w:eastAsia="Times New Roman" w:hAnsi="Times New Roman" w:cs="Times New Roman"/>
      <w:noProof/>
      <w:sz w:val="24"/>
      <w:szCs w:val="24"/>
      <w:lang w:val="en-US"/>
    </w:rPr>
  </w:style>
  <w:style w:type="character" w:styleId="CommentReference">
    <w:name w:val="annotation reference"/>
    <w:rsid w:val="005B6A4A"/>
    <w:rPr>
      <w:sz w:val="16"/>
      <w:szCs w:val="16"/>
    </w:rPr>
  </w:style>
  <w:style w:type="paragraph" w:styleId="CommentText">
    <w:name w:val="annotation text"/>
    <w:basedOn w:val="Normal"/>
    <w:link w:val="CommentTextChar"/>
    <w:rsid w:val="005B6A4A"/>
    <w:rPr>
      <w:sz w:val="20"/>
      <w:szCs w:val="20"/>
    </w:rPr>
  </w:style>
  <w:style w:type="character" w:customStyle="1" w:styleId="CommentTextChar">
    <w:name w:val="Comment Text Char"/>
    <w:link w:val="CommentText"/>
    <w:rsid w:val="005B6A4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5B6A4A"/>
    <w:rPr>
      <w:b/>
      <w:bCs/>
    </w:rPr>
  </w:style>
  <w:style w:type="character" w:customStyle="1" w:styleId="CommentSubjectChar">
    <w:name w:val="Comment Subject Char"/>
    <w:link w:val="CommentSubject"/>
    <w:rsid w:val="005B6A4A"/>
    <w:rPr>
      <w:rFonts w:ascii="Times New Roman" w:eastAsia="Times New Roman" w:hAnsi="Times New Roman" w:cs="Times New Roman"/>
      <w:b/>
      <w:bCs/>
      <w:sz w:val="20"/>
      <w:szCs w:val="20"/>
      <w:lang w:val="en-US"/>
    </w:rPr>
  </w:style>
  <w:style w:type="paragraph" w:styleId="BalloonText">
    <w:name w:val="Balloon Text"/>
    <w:basedOn w:val="Normal"/>
    <w:link w:val="BalloonTextChar"/>
    <w:rsid w:val="005B6A4A"/>
    <w:rPr>
      <w:rFonts w:ascii="Tahoma" w:hAnsi="Tahoma" w:cs="Tahoma"/>
      <w:sz w:val="16"/>
      <w:szCs w:val="16"/>
    </w:rPr>
  </w:style>
  <w:style w:type="character" w:customStyle="1" w:styleId="BalloonTextChar">
    <w:name w:val="Balloon Text Char"/>
    <w:link w:val="BalloonText"/>
    <w:rsid w:val="005B6A4A"/>
    <w:rPr>
      <w:rFonts w:ascii="Tahoma" w:eastAsia="Times New Roman" w:hAnsi="Tahoma" w:cs="Tahoma"/>
      <w:sz w:val="16"/>
      <w:szCs w:val="16"/>
      <w:lang w:val="en-US"/>
    </w:rPr>
  </w:style>
  <w:style w:type="character" w:styleId="Strong">
    <w:name w:val="Strong"/>
    <w:qFormat/>
    <w:rsid w:val="005B6A4A"/>
    <w:rPr>
      <w:b/>
      <w:bCs/>
    </w:rPr>
  </w:style>
  <w:style w:type="paragraph" w:styleId="Subtitle">
    <w:name w:val="Subtitle"/>
    <w:basedOn w:val="Normal"/>
    <w:next w:val="Normal"/>
    <w:link w:val="SubtitleChar"/>
    <w:qFormat/>
    <w:rsid w:val="005B6A4A"/>
    <w:pPr>
      <w:spacing w:after="60"/>
      <w:jc w:val="center"/>
      <w:outlineLvl w:val="1"/>
    </w:pPr>
    <w:rPr>
      <w:rFonts w:ascii="Cambria" w:hAnsi="Cambria"/>
    </w:rPr>
  </w:style>
  <w:style w:type="character" w:customStyle="1" w:styleId="SubtitleChar">
    <w:name w:val="Subtitle Char"/>
    <w:link w:val="Subtitle"/>
    <w:rsid w:val="005B6A4A"/>
    <w:rPr>
      <w:rFonts w:ascii="Cambria" w:eastAsia="Times New Roman" w:hAnsi="Cambria" w:cs="Times New Roman"/>
      <w:sz w:val="24"/>
      <w:szCs w:val="24"/>
      <w:lang w:val="en-US"/>
    </w:rPr>
  </w:style>
  <w:style w:type="paragraph" w:styleId="ListParagraph">
    <w:name w:val="List Paragraph"/>
    <w:basedOn w:val="Normal"/>
    <w:uiPriority w:val="1"/>
    <w:qFormat/>
    <w:rsid w:val="00004CA1"/>
    <w:pPr>
      <w:ind w:left="720"/>
      <w:contextualSpacing/>
    </w:pPr>
  </w:style>
  <w:style w:type="character" w:customStyle="1" w:styleId="hvr">
    <w:name w:val="hvr"/>
    <w:basedOn w:val="DefaultParagraphFont"/>
    <w:rsid w:val="00CF3B72"/>
  </w:style>
  <w:style w:type="paragraph" w:styleId="Revision">
    <w:name w:val="Revision"/>
    <w:hidden/>
    <w:uiPriority w:val="71"/>
    <w:rsid w:val="00C6007B"/>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18433">
      <w:bodyDiv w:val="1"/>
      <w:marLeft w:val="0"/>
      <w:marRight w:val="0"/>
      <w:marTop w:val="0"/>
      <w:marBottom w:val="0"/>
      <w:divBdr>
        <w:top w:val="none" w:sz="0" w:space="0" w:color="auto"/>
        <w:left w:val="none" w:sz="0" w:space="0" w:color="auto"/>
        <w:bottom w:val="none" w:sz="0" w:space="0" w:color="auto"/>
        <w:right w:val="none" w:sz="0" w:space="0" w:color="auto"/>
      </w:divBdr>
    </w:div>
    <w:div w:id="929119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rth.wa.gov.au/future-perth/community-snapsho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rofile.id.com.au/perth"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Phillimore@curtin.edu.au" TargetMode="External"/><Relationship Id="rId14" Type="http://schemas.openxmlformats.org/officeDocument/2006/relationships/hyperlink" Target="https://www.alia.org.au/sites/default/files/Contribution%20of%20Australian%20Public%20Libraries%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6AD700-72B7-4632-94E0-B93F4E5D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7156</Words>
  <Characters>40795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The role of Sport in Crime Prevention		Smith 2015</vt:lpstr>
    </vt:vector>
  </TitlesOfParts>
  <Company>Curtin University</Company>
  <LinksUpToDate>false</LinksUpToDate>
  <CharactersWithSpaces>47856</CharactersWithSpaces>
  <SharedDoc>false</SharedDoc>
  <HLinks>
    <vt:vector size="48" baseType="variant">
      <vt:variant>
        <vt:i4>7864358</vt:i4>
      </vt:variant>
      <vt:variant>
        <vt:i4>21</vt:i4>
      </vt:variant>
      <vt:variant>
        <vt:i4>0</vt:i4>
      </vt:variant>
      <vt:variant>
        <vt:i4>5</vt:i4>
      </vt:variant>
      <vt:variant>
        <vt:lpwstr>http://www.aic.gov.au/conferences/ncv2/</vt:lpwstr>
      </vt:variant>
      <vt:variant>
        <vt:lpwstr/>
      </vt:variant>
      <vt:variant>
        <vt:i4>1114223</vt:i4>
      </vt:variant>
      <vt:variant>
        <vt:i4>18</vt:i4>
      </vt:variant>
      <vt:variant>
        <vt:i4>0</vt:i4>
      </vt:variant>
      <vt:variant>
        <vt:i4>5</vt:i4>
      </vt:variant>
      <vt:variant>
        <vt:lpwstr>http://www.sportdevelopment.org.uk/html/rg_crime.html</vt:lpwstr>
      </vt:variant>
      <vt:variant>
        <vt:lpwstr/>
      </vt:variant>
      <vt:variant>
        <vt:i4>7929893</vt:i4>
      </vt:variant>
      <vt:variant>
        <vt:i4>15</vt:i4>
      </vt:variant>
      <vt:variant>
        <vt:i4>0</vt:i4>
      </vt:variant>
      <vt:variant>
        <vt:i4>5</vt:i4>
      </vt:variant>
      <vt:variant>
        <vt:lpwstr>http://dx.doi.org/10.1007/s10964-012-9904-2</vt:lpwstr>
      </vt:variant>
      <vt:variant>
        <vt:lpwstr/>
      </vt:variant>
      <vt:variant>
        <vt:i4>6029405</vt:i4>
      </vt:variant>
      <vt:variant>
        <vt:i4>12</vt:i4>
      </vt:variant>
      <vt:variant>
        <vt:i4>0</vt:i4>
      </vt:variant>
      <vt:variant>
        <vt:i4>5</vt:i4>
      </vt:variant>
      <vt:variant>
        <vt:lpwstr>http://www.sportengland.org/</vt:lpwstr>
      </vt:variant>
      <vt:variant>
        <vt:lpwstr/>
      </vt:variant>
      <vt:variant>
        <vt:i4>1638468</vt:i4>
      </vt:variant>
      <vt:variant>
        <vt:i4>9</vt:i4>
      </vt:variant>
      <vt:variant>
        <vt:i4>0</vt:i4>
      </vt:variant>
      <vt:variant>
        <vt:i4>5</vt:i4>
      </vt:variant>
      <vt:variant>
        <vt:lpwstr>https://secure.ausport.gov.au/clearinghouse/knowledge_base/organised_sport/sport_and_government_policy_objectives/crime_reduction_and_the_role_of_sport</vt:lpwstr>
      </vt:variant>
      <vt:variant>
        <vt:lpwstr/>
      </vt:variant>
      <vt:variant>
        <vt:i4>2424876</vt:i4>
      </vt:variant>
      <vt:variant>
        <vt:i4>6</vt:i4>
      </vt:variant>
      <vt:variant>
        <vt:i4>0</vt:i4>
      </vt:variant>
      <vt:variant>
        <vt:i4>5</vt:i4>
      </vt:variant>
      <vt:variant>
        <vt:lpwstr>http://dx.doi.org/10.1016/j.smr.2014.07.005</vt:lpwstr>
      </vt:variant>
      <vt:variant>
        <vt:lpwstr/>
      </vt:variant>
      <vt:variant>
        <vt:i4>4194314</vt:i4>
      </vt:variant>
      <vt:variant>
        <vt:i4>3</vt:i4>
      </vt:variant>
      <vt:variant>
        <vt:i4>0</vt:i4>
      </vt:variant>
      <vt:variant>
        <vt:i4>5</vt:i4>
      </vt:variant>
      <vt:variant>
        <vt:lpwstr>http://www.communidadsegura.org/?q=en/node/31679</vt:lpwstr>
      </vt:variant>
      <vt:variant>
        <vt:lpwstr/>
      </vt:variant>
      <vt:variant>
        <vt:i4>7995436</vt:i4>
      </vt:variant>
      <vt:variant>
        <vt:i4>0</vt:i4>
      </vt:variant>
      <vt:variant>
        <vt:i4>0</vt:i4>
      </vt:variant>
      <vt:variant>
        <vt:i4>5</vt:i4>
      </vt:variant>
      <vt:variant>
        <vt:lpwstr>http://dx.doi.org/10.1007/s10964-006-9075-0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Sport in Crime Prevention		Smith 2015</dc:title>
  <dc:creator>jimmy</dc:creator>
  <cp:lastModifiedBy>Amma Buckley</cp:lastModifiedBy>
  <cp:revision>3</cp:revision>
  <cp:lastPrinted>2015-04-23T06:51:00Z</cp:lastPrinted>
  <dcterms:created xsi:type="dcterms:W3CDTF">2019-06-03T05:02:00Z</dcterms:created>
  <dcterms:modified xsi:type="dcterms:W3CDTF">2019-06-03T05:02:00Z</dcterms:modified>
</cp:coreProperties>
</file>